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9" w:type="dxa"/>
        <w:tblInd w:w="-142" w:type="dxa"/>
        <w:tblLayout w:type="fixed"/>
        <w:tblLook w:val="01E0" w:firstRow="1" w:lastRow="1" w:firstColumn="1" w:lastColumn="1" w:noHBand="0" w:noVBand="0"/>
      </w:tblPr>
      <w:tblGrid>
        <w:gridCol w:w="2070"/>
        <w:gridCol w:w="7699"/>
      </w:tblGrid>
      <w:tr w:rsidR="001114D2" w:rsidRPr="00D25854" w14:paraId="0F1A5F21" w14:textId="77777777" w:rsidTr="007C5C66">
        <w:tc>
          <w:tcPr>
            <w:tcW w:w="2070" w:type="dxa"/>
            <w:vAlign w:val="center"/>
          </w:tcPr>
          <w:p w14:paraId="23E4F025" w14:textId="10C73FF0" w:rsidR="001114D2" w:rsidRPr="00D25854" w:rsidRDefault="001114D2" w:rsidP="003F7E2F">
            <w:pPr>
              <w:spacing w:before="120" w:after="0" w:line="240" w:lineRule="auto"/>
              <w:jc w:val="center"/>
              <w:rPr>
                <w:b/>
                <w:sz w:val="36"/>
                <w:szCs w:val="28"/>
              </w:rPr>
            </w:pPr>
            <w:r>
              <w:rPr>
                <w:noProof/>
              </w:rPr>
              <w:drawing>
                <wp:inline distT="0" distB="0" distL="0" distR="0" wp14:anchorId="58B1465B" wp14:editId="2FC38C89">
                  <wp:extent cx="914400" cy="1249680"/>
                  <wp:effectExtent l="0" t="0" r="0" b="7620"/>
                  <wp:docPr id="853887391" name="Picture 2" descr="A logo with a star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87391" name="Picture 2" descr="A logo with a star in a circl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249680"/>
                          </a:xfrm>
                          <a:prstGeom prst="rect">
                            <a:avLst/>
                          </a:prstGeom>
                          <a:noFill/>
                          <a:ln>
                            <a:noFill/>
                          </a:ln>
                        </pic:spPr>
                      </pic:pic>
                    </a:graphicData>
                  </a:graphic>
                </wp:inline>
              </w:drawing>
            </w:r>
          </w:p>
        </w:tc>
        <w:tc>
          <w:tcPr>
            <w:tcW w:w="7699" w:type="dxa"/>
          </w:tcPr>
          <w:p w14:paraId="20DD822D" w14:textId="77777777" w:rsidR="001114D2" w:rsidRPr="005D2404" w:rsidRDefault="001114D2" w:rsidP="00873B91">
            <w:pPr>
              <w:spacing w:before="120" w:after="0" w:line="240" w:lineRule="auto"/>
              <w:ind w:left="-22"/>
              <w:jc w:val="center"/>
              <w:rPr>
                <w:rFonts w:ascii="Arial" w:hAnsi="Arial" w:cs="Arial"/>
                <w:b/>
                <w:color w:val="003296"/>
                <w:sz w:val="28"/>
                <w:szCs w:val="28"/>
              </w:rPr>
            </w:pPr>
            <w:r w:rsidRPr="005D2404">
              <w:rPr>
                <w:rFonts w:ascii="Arial" w:hAnsi="Arial" w:cs="Arial"/>
                <w:b/>
                <w:color w:val="003296"/>
                <w:sz w:val="28"/>
                <w:szCs w:val="28"/>
              </w:rPr>
              <w:t>TẬP ĐOÀN ĐIỆN LỰC VIỆT NAM</w:t>
            </w:r>
          </w:p>
          <w:p w14:paraId="08DC9EAE" w14:textId="77777777" w:rsidR="00F33507" w:rsidRDefault="001114D2" w:rsidP="004533A9">
            <w:pPr>
              <w:spacing w:before="120" w:after="240" w:line="240" w:lineRule="auto"/>
              <w:jc w:val="center"/>
              <w:rPr>
                <w:b/>
                <w:bCs/>
                <w:sz w:val="26"/>
              </w:rPr>
            </w:pPr>
            <w:r w:rsidRPr="001114D2">
              <w:rPr>
                <w:b/>
                <w:bCs/>
                <w:sz w:val="26"/>
              </w:rPr>
              <w:t xml:space="preserve">THÔNG </w:t>
            </w:r>
            <w:r w:rsidR="00F33507">
              <w:rPr>
                <w:b/>
                <w:bCs/>
                <w:sz w:val="26"/>
              </w:rPr>
              <w:t>CÁO</w:t>
            </w:r>
            <w:r w:rsidR="00F33507">
              <w:rPr>
                <w:b/>
                <w:bCs/>
                <w:sz w:val="26"/>
                <w:lang w:val="vi-VN"/>
              </w:rPr>
              <w:t xml:space="preserve"> BÁO CHÍ </w:t>
            </w:r>
          </w:p>
          <w:p w14:paraId="5196BE32" w14:textId="77777777" w:rsidR="003F7E2F" w:rsidRDefault="00F33507" w:rsidP="00873B91">
            <w:pPr>
              <w:spacing w:before="120" w:after="0" w:line="240" w:lineRule="auto"/>
              <w:jc w:val="center"/>
              <w:rPr>
                <w:rFonts w:eastAsia="Aptos" w:cs="Times New Roman"/>
                <w:b/>
                <w:bCs/>
                <w:sz w:val="28"/>
                <w:szCs w:val="28"/>
              </w:rPr>
            </w:pPr>
            <w:r w:rsidRPr="003F7E2F">
              <w:rPr>
                <w:b/>
                <w:bCs/>
                <w:sz w:val="28"/>
                <w:szCs w:val="28"/>
                <w:lang w:val="vi-VN"/>
              </w:rPr>
              <w:t xml:space="preserve">VỀ VIỆC </w:t>
            </w:r>
            <w:r w:rsidR="001114D2" w:rsidRPr="003F7E2F">
              <w:rPr>
                <w:rFonts w:eastAsia="Aptos" w:cs="Times New Roman"/>
                <w:b/>
                <w:bCs/>
                <w:sz w:val="28"/>
                <w:szCs w:val="28"/>
              </w:rPr>
              <w:t xml:space="preserve">TRIỂN KHAI THỬ NGHIỆM </w:t>
            </w:r>
          </w:p>
          <w:p w14:paraId="38758274" w14:textId="5E5DDA90" w:rsidR="001114D2" w:rsidRPr="003F7E2F" w:rsidRDefault="001114D2" w:rsidP="004533A9">
            <w:pPr>
              <w:spacing w:after="0" w:line="240" w:lineRule="auto"/>
              <w:jc w:val="center"/>
              <w:rPr>
                <w:spacing w:val="-8"/>
                <w:sz w:val="28"/>
                <w:szCs w:val="28"/>
              </w:rPr>
            </w:pPr>
            <w:r w:rsidRPr="003F7E2F">
              <w:rPr>
                <w:rFonts w:eastAsia="Aptos" w:cs="Times New Roman"/>
                <w:b/>
                <w:bCs/>
                <w:sz w:val="28"/>
                <w:szCs w:val="28"/>
              </w:rPr>
              <w:t xml:space="preserve">GIÁ BÁN LẺ ĐIỆN HAI THÀNH PHẦN  </w:t>
            </w:r>
          </w:p>
        </w:tc>
      </w:tr>
    </w:tbl>
    <w:p w14:paraId="01C0374E" w14:textId="7F2FE09E" w:rsidR="001114D2" w:rsidRPr="00873B91" w:rsidRDefault="001114D2" w:rsidP="001114D2">
      <w:pPr>
        <w:tabs>
          <w:tab w:val="left" w:pos="864"/>
          <w:tab w:val="left" w:pos="990"/>
          <w:tab w:val="left" w:pos="1260"/>
        </w:tabs>
        <w:ind w:left="260" w:right="-5"/>
        <w:jc w:val="right"/>
        <w:rPr>
          <w:bCs/>
          <w:i/>
          <w:sz w:val="26"/>
          <w:szCs w:val="26"/>
        </w:rPr>
      </w:pPr>
      <w:r w:rsidRPr="00873B91">
        <w:rPr>
          <w:bCs/>
          <w:i/>
          <w:sz w:val="26"/>
          <w:szCs w:val="26"/>
        </w:rPr>
        <w:t xml:space="preserve">Hà Nội, ngày </w:t>
      </w:r>
      <w:r w:rsidR="00486D96">
        <w:rPr>
          <w:bCs/>
          <w:i/>
          <w:sz w:val="26"/>
          <w:szCs w:val="26"/>
        </w:rPr>
        <w:t>10</w:t>
      </w:r>
      <w:r w:rsidRPr="00873B91">
        <w:rPr>
          <w:bCs/>
          <w:i/>
          <w:sz w:val="26"/>
          <w:szCs w:val="26"/>
        </w:rPr>
        <w:t xml:space="preserve"> tháng 10 năm 2025</w:t>
      </w:r>
    </w:p>
    <w:p w14:paraId="7EBDC1D1" w14:textId="6AC75C12" w:rsidR="00B5613A" w:rsidRPr="00B5613A" w:rsidRDefault="00B5613A" w:rsidP="00AA235D">
      <w:pPr>
        <w:spacing w:after="120" w:line="240" w:lineRule="auto"/>
        <w:ind w:firstLine="567"/>
        <w:jc w:val="both"/>
        <w:rPr>
          <w:sz w:val="28"/>
          <w:szCs w:val="28"/>
        </w:rPr>
      </w:pPr>
      <w:r>
        <w:rPr>
          <w:sz w:val="28"/>
          <w:szCs w:val="28"/>
        </w:rPr>
        <w:t xml:space="preserve">Thực hiện chỉ đạo của Bộ Công Thương, Tập đoàn Điện lực Việt Nam (EVN) đã hoàn thiện </w:t>
      </w:r>
      <w:r w:rsidRPr="00F87080">
        <w:rPr>
          <w:sz w:val="28"/>
          <w:szCs w:val="28"/>
        </w:rPr>
        <w:t>Đề án “Xây dựng hệ thống giá bán điện hai thành phần (giá công suất và giá điện năng) và lộ trình áp dụng cho ngành Điện Việt Nam”</w:t>
      </w:r>
      <w:r>
        <w:rPr>
          <w:sz w:val="28"/>
          <w:szCs w:val="28"/>
        </w:rPr>
        <w:t>. Theo đó Bộ Công Thương đồng ý</w:t>
      </w:r>
      <w:r w:rsidR="002C7D48">
        <w:rPr>
          <w:sz w:val="28"/>
          <w:szCs w:val="28"/>
        </w:rPr>
        <w:t xml:space="preserve"> phương án triển khai </w:t>
      </w:r>
      <w:r w:rsidR="00193083">
        <w:rPr>
          <w:sz w:val="28"/>
          <w:szCs w:val="28"/>
        </w:rPr>
        <w:t xml:space="preserve">áp dụng thử nghiệm </w:t>
      </w:r>
      <w:r w:rsidR="002C7D48">
        <w:rPr>
          <w:sz w:val="28"/>
          <w:szCs w:val="28"/>
        </w:rPr>
        <w:t>giá bán lẻ điện 2 thành phần</w:t>
      </w:r>
      <w:r w:rsidR="00193083">
        <w:rPr>
          <w:sz w:val="28"/>
          <w:szCs w:val="28"/>
        </w:rPr>
        <w:t xml:space="preserve"> (</w:t>
      </w:r>
      <w:r w:rsidR="00193083" w:rsidRPr="00AB2BC8">
        <w:rPr>
          <w:rFonts w:cs="Times New Roman"/>
          <w:i/>
          <w:iCs/>
          <w:sz w:val="28"/>
          <w:szCs w:val="28"/>
        </w:rPr>
        <w:t>gồm giá công suất và giá điệ</w:t>
      </w:r>
      <w:r w:rsidR="00193083">
        <w:rPr>
          <w:rFonts w:cs="Times New Roman"/>
          <w:i/>
          <w:iCs/>
          <w:sz w:val="28"/>
          <w:szCs w:val="28"/>
        </w:rPr>
        <w:t xml:space="preserve">n năng) </w:t>
      </w:r>
      <w:r w:rsidR="00193083">
        <w:rPr>
          <w:sz w:val="28"/>
          <w:szCs w:val="28"/>
        </w:rPr>
        <w:t xml:space="preserve">trên giấy từ tháng 10/2025. Đối tượng áp dụng là </w:t>
      </w:r>
      <w:r w:rsidR="00193083" w:rsidRPr="00A131B7">
        <w:rPr>
          <w:sz w:val="28"/>
          <w:szCs w:val="28"/>
        </w:rPr>
        <w:t xml:space="preserve">các nhóm khách hàng sản xuất </w:t>
      </w:r>
      <w:r w:rsidR="00193083">
        <w:rPr>
          <w:sz w:val="28"/>
          <w:szCs w:val="28"/>
        </w:rPr>
        <w:t xml:space="preserve">do </w:t>
      </w:r>
      <w:r w:rsidR="00AD5A7A">
        <w:rPr>
          <w:sz w:val="28"/>
          <w:szCs w:val="28"/>
        </w:rPr>
        <w:t xml:space="preserve">EVN và các đơn vị thành viên bán lẻ trực tiếp, </w:t>
      </w:r>
      <w:r w:rsidR="00AD5A7A" w:rsidRPr="00DA71E9">
        <w:rPr>
          <w:rFonts w:eastAsia="Aptos" w:cs="Times New Roman"/>
          <w:sz w:val="28"/>
        </w:rPr>
        <w:t>có sản lượng điện tiêu thụ bình quân từ 200.000kWh/tháng trở lên (tính trung bình 12 tháng gần nhất)</w:t>
      </w:r>
      <w:r w:rsidR="000B0C38">
        <w:rPr>
          <w:rFonts w:eastAsia="Aptos" w:cs="Times New Roman"/>
          <w:sz w:val="28"/>
        </w:rPr>
        <w:t>.</w:t>
      </w:r>
    </w:p>
    <w:p w14:paraId="46375F57" w14:textId="315C4117" w:rsidR="00F33507" w:rsidRPr="00F33507" w:rsidRDefault="00F33507" w:rsidP="00AA235D">
      <w:pPr>
        <w:spacing w:after="120" w:line="240" w:lineRule="auto"/>
        <w:ind w:firstLine="567"/>
        <w:jc w:val="both"/>
        <w:rPr>
          <w:rFonts w:eastAsia="Aptos" w:cs="Times New Roman"/>
          <w:spacing w:val="-2"/>
          <w:sz w:val="28"/>
          <w:lang w:val="vi-VN"/>
        </w:rPr>
      </w:pPr>
      <w:r>
        <w:rPr>
          <w:rFonts w:eastAsia="Aptos" w:cs="Times New Roman"/>
          <w:sz w:val="28"/>
          <w:lang w:val="vi-VN"/>
        </w:rPr>
        <w:t>Việc triển khai thử nghiệm</w:t>
      </w:r>
      <w:r w:rsidR="00D42D57">
        <w:rPr>
          <w:rFonts w:eastAsia="Aptos" w:cs="Times New Roman"/>
          <w:sz w:val="28"/>
        </w:rPr>
        <w:t xml:space="preserve"> tính toán</w:t>
      </w:r>
      <w:r>
        <w:rPr>
          <w:rFonts w:eastAsia="Aptos" w:cs="Times New Roman"/>
          <w:sz w:val="28"/>
          <w:lang w:val="vi-VN"/>
        </w:rPr>
        <w:t xml:space="preserve"> </w:t>
      </w:r>
      <w:r w:rsidR="00AD5A7A">
        <w:rPr>
          <w:rFonts w:eastAsia="Aptos" w:cs="Times New Roman"/>
          <w:sz w:val="28"/>
        </w:rPr>
        <w:t>trên giấy</w:t>
      </w:r>
      <w:r w:rsidR="008F141B">
        <w:rPr>
          <w:rFonts w:eastAsia="Aptos" w:cs="Times New Roman"/>
          <w:sz w:val="28"/>
        </w:rPr>
        <w:t xml:space="preserve"> với số liệu thực tế</w:t>
      </w:r>
      <w:r>
        <w:rPr>
          <w:rFonts w:eastAsia="Aptos" w:cs="Times New Roman"/>
          <w:sz w:val="28"/>
          <w:lang w:val="vi-VN"/>
        </w:rPr>
        <w:t xml:space="preserve"> </w:t>
      </w:r>
      <w:r w:rsidRPr="00F33507">
        <w:rPr>
          <w:rFonts w:eastAsia="Aptos" w:cs="Times New Roman"/>
          <w:spacing w:val="-2"/>
          <w:sz w:val="28"/>
          <w:lang w:val="vi-VN"/>
        </w:rPr>
        <w:t xml:space="preserve">nhằm </w:t>
      </w:r>
      <w:r w:rsidR="00AD5A7A">
        <w:rPr>
          <w:rFonts w:eastAsia="Aptos" w:cs="Times New Roman"/>
          <w:spacing w:val="-2"/>
          <w:sz w:val="28"/>
        </w:rPr>
        <w:t>tiến tới</w:t>
      </w:r>
      <w:r w:rsidRPr="00F33507">
        <w:rPr>
          <w:rFonts w:eastAsia="Aptos" w:cs="Times New Roman"/>
          <w:spacing w:val="-2"/>
          <w:sz w:val="28"/>
          <w:lang w:val="vi-VN"/>
        </w:rPr>
        <w:t xml:space="preserve"> triển khai thực hiện chủ trương áp dụng giá điện 2 thành phần đã được quy định trong Điều 50 Luật Điện lực (sửa đổi) năm 2024</w:t>
      </w:r>
      <w:r w:rsidR="00F805CA">
        <w:rPr>
          <w:rFonts w:eastAsia="Aptos" w:cs="Times New Roman"/>
          <w:spacing w:val="-2"/>
          <w:sz w:val="28"/>
          <w:lang w:val="vi-VN"/>
        </w:rPr>
        <w:t xml:space="preserve">; </w:t>
      </w:r>
      <w:r w:rsidR="00F805CA" w:rsidRPr="00AB2BC8">
        <w:rPr>
          <w:rFonts w:cs="Times New Roman"/>
          <w:sz w:val="28"/>
          <w:szCs w:val="28"/>
        </w:rPr>
        <w:t>từng bước thay thế các biểu giá điện một thành phần trong cơ cấu biểu giá bán lẻ điện hiện nay</w:t>
      </w:r>
      <w:r w:rsidR="00F805CA">
        <w:rPr>
          <w:rFonts w:cs="Times New Roman"/>
          <w:sz w:val="28"/>
          <w:szCs w:val="28"/>
        </w:rPr>
        <w:t>,</w:t>
      </w:r>
      <w:r w:rsidR="00F805CA" w:rsidRPr="00AB2BC8">
        <w:rPr>
          <w:rFonts w:cs="Times New Roman"/>
          <w:sz w:val="28"/>
          <w:szCs w:val="28"/>
        </w:rPr>
        <w:t xml:space="preserve"> đảm bảo phù hợp điều kiện hạ tầng kỹ thuật của ngành </w:t>
      </w:r>
      <w:r w:rsidR="00F805CA" w:rsidRPr="00AB2BC8">
        <w:rPr>
          <w:rFonts w:cs="Times New Roman"/>
          <w:sz w:val="28"/>
          <w:szCs w:val="28"/>
          <w:lang w:val="vi-VN"/>
        </w:rPr>
        <w:t>Đ</w:t>
      </w:r>
      <w:r w:rsidR="00F805CA" w:rsidRPr="00AB2BC8">
        <w:rPr>
          <w:rFonts w:cs="Times New Roman"/>
          <w:sz w:val="28"/>
          <w:szCs w:val="28"/>
        </w:rPr>
        <w:t xml:space="preserve">iện, các vấn đề pháp lý cũng như mức độ thích nghi với biểu giá mới của </w:t>
      </w:r>
      <w:r w:rsidR="00F805CA">
        <w:rPr>
          <w:rFonts w:cs="Times New Roman"/>
          <w:sz w:val="28"/>
          <w:szCs w:val="28"/>
        </w:rPr>
        <w:t>hộ</w:t>
      </w:r>
      <w:r w:rsidR="00F805CA" w:rsidRPr="00AB2BC8">
        <w:rPr>
          <w:rFonts w:cs="Times New Roman"/>
          <w:sz w:val="28"/>
          <w:szCs w:val="28"/>
        </w:rPr>
        <w:t xml:space="preserve"> tiêu dùng.</w:t>
      </w:r>
    </w:p>
    <w:p w14:paraId="01D4708D" w14:textId="218E31C3" w:rsidR="00447DC5" w:rsidRDefault="00F33507" w:rsidP="00AA235D">
      <w:pPr>
        <w:spacing w:after="120" w:line="240" w:lineRule="auto"/>
        <w:ind w:firstLine="567"/>
        <w:jc w:val="both"/>
        <w:rPr>
          <w:rFonts w:eastAsia="Times New Roman" w:cs="Times New Roman"/>
          <w:sz w:val="26"/>
          <w:szCs w:val="26"/>
        </w:rPr>
      </w:pPr>
      <w:r>
        <w:rPr>
          <w:rFonts w:eastAsia="Aptos" w:cs="Times New Roman"/>
          <w:sz w:val="28"/>
          <w:lang w:val="vi-VN"/>
        </w:rPr>
        <w:t xml:space="preserve"> </w:t>
      </w:r>
      <w:r w:rsidR="00587EDD" w:rsidRPr="00447DC5">
        <w:rPr>
          <w:rFonts w:cs="Times New Roman"/>
          <w:sz w:val="28"/>
          <w:szCs w:val="28"/>
        </w:rPr>
        <w:t>Giá điện 2 thành phần</w:t>
      </w:r>
      <w:r w:rsidR="00447DC5">
        <w:rPr>
          <w:rFonts w:cs="Times New Roman"/>
          <w:sz w:val="28"/>
          <w:szCs w:val="28"/>
        </w:rPr>
        <w:t xml:space="preserve"> là giá điện bao gồm giá công suất sử dụng lớn nhất và giá điện năng, </w:t>
      </w:r>
      <w:r w:rsidR="00587EDD" w:rsidRPr="00447DC5">
        <w:rPr>
          <w:rFonts w:cs="Times New Roman"/>
          <w:sz w:val="28"/>
          <w:szCs w:val="28"/>
        </w:rPr>
        <w:t xml:space="preserve">tiền điện mà người tiêu dùng phải thanh toán sẽ bao gồm 2 phần: phần trả cho công suất sử dụng </w:t>
      </w:r>
      <w:r w:rsidR="00D33FB0">
        <w:rPr>
          <w:rFonts w:cs="Times New Roman"/>
          <w:sz w:val="28"/>
          <w:szCs w:val="28"/>
        </w:rPr>
        <w:t>thể hiện</w:t>
      </w:r>
      <w:r w:rsidR="00587EDD" w:rsidRPr="00447DC5">
        <w:rPr>
          <w:rFonts w:cs="Times New Roman"/>
          <w:sz w:val="28"/>
          <w:szCs w:val="28"/>
        </w:rPr>
        <w:t xml:space="preserve"> chi phí cố định của quá trình cung ứng điện và phần trả cho điện năng tiêu dùng </w:t>
      </w:r>
      <w:r w:rsidR="00D33FB0">
        <w:rPr>
          <w:rFonts w:cs="Times New Roman"/>
          <w:sz w:val="28"/>
          <w:szCs w:val="28"/>
        </w:rPr>
        <w:t>phản ánh</w:t>
      </w:r>
      <w:r w:rsidR="00587EDD" w:rsidRPr="00447DC5">
        <w:rPr>
          <w:rFonts w:cs="Times New Roman"/>
          <w:sz w:val="28"/>
          <w:szCs w:val="28"/>
        </w:rPr>
        <w:t xml:space="preserve"> chi phí biến đổi</w:t>
      </w:r>
      <w:r w:rsidR="00F71C0F">
        <w:rPr>
          <w:rFonts w:cs="Times New Roman"/>
          <w:sz w:val="28"/>
          <w:szCs w:val="28"/>
        </w:rPr>
        <w:t xml:space="preserve"> phát sinh theo mức sử dụng điện thực tế của khách hàng</w:t>
      </w:r>
      <w:r w:rsidR="00587EDD" w:rsidRPr="00447DC5">
        <w:rPr>
          <w:rFonts w:cs="Times New Roman"/>
          <w:sz w:val="28"/>
          <w:szCs w:val="28"/>
        </w:rPr>
        <w:t>. Với nguyên tắc xây dựng như vậy nên giá điện 2 thành phần là thông điệp hữu hiệu cho khách hàng sử dụng điện</w:t>
      </w:r>
      <w:r w:rsidR="00447DC5">
        <w:rPr>
          <w:rFonts w:cs="Times New Roman"/>
          <w:sz w:val="28"/>
          <w:szCs w:val="28"/>
        </w:rPr>
        <w:t xml:space="preserve"> luôn</w:t>
      </w:r>
      <w:r w:rsidR="00587EDD" w:rsidRPr="00447DC5">
        <w:rPr>
          <w:rFonts w:cs="Times New Roman"/>
          <w:sz w:val="28"/>
          <w:szCs w:val="28"/>
        </w:rPr>
        <w:t xml:space="preserve"> quan tâm đến chế độ sử dụng điện</w:t>
      </w:r>
      <w:r w:rsidR="00447DC5" w:rsidRPr="00447DC5">
        <w:rPr>
          <w:rFonts w:cs="Times New Roman"/>
          <w:sz w:val="28"/>
          <w:szCs w:val="28"/>
        </w:rPr>
        <w:t xml:space="preserve">, nếu với cùng sản lượng tiêu dùng như nhau nhưng khách hàng giảm được công suất </w:t>
      </w:r>
      <w:r w:rsidR="00447DC5">
        <w:rPr>
          <w:rFonts w:cs="Times New Roman"/>
          <w:sz w:val="28"/>
          <w:szCs w:val="28"/>
        </w:rPr>
        <w:t>sử dụng (</w:t>
      </w:r>
      <w:r w:rsidR="00447DC5" w:rsidRPr="00447DC5">
        <w:rPr>
          <w:rFonts w:cs="Times New Roman"/>
          <w:sz w:val="28"/>
          <w:szCs w:val="28"/>
        </w:rPr>
        <w:t>Pmax</w:t>
      </w:r>
      <w:r w:rsidR="00447DC5">
        <w:rPr>
          <w:rFonts w:cs="Times New Roman"/>
          <w:sz w:val="28"/>
          <w:szCs w:val="28"/>
        </w:rPr>
        <w:t>)</w:t>
      </w:r>
      <w:r w:rsidR="00447DC5" w:rsidRPr="00447DC5">
        <w:rPr>
          <w:rFonts w:cs="Times New Roman"/>
          <w:sz w:val="28"/>
          <w:szCs w:val="28"/>
        </w:rPr>
        <w:t xml:space="preserve"> thì tiền điện sẽ giảm và cũng giúp ngành điện giảm được công suất mang tải cực đại của hệ thống điện, </w:t>
      </w:r>
      <w:r w:rsidR="008D6DB8">
        <w:rPr>
          <w:rFonts w:cs="Times New Roman"/>
          <w:sz w:val="28"/>
          <w:szCs w:val="28"/>
        </w:rPr>
        <w:t>góp phần</w:t>
      </w:r>
      <w:r w:rsidR="008D6DB8" w:rsidRPr="008D6DB8">
        <w:t xml:space="preserve"> </w:t>
      </w:r>
      <w:r w:rsidR="008D6DB8" w:rsidRPr="008D6DB8">
        <w:rPr>
          <w:rFonts w:cs="Times New Roman"/>
          <w:sz w:val="28"/>
          <w:szCs w:val="28"/>
        </w:rPr>
        <w:t xml:space="preserve">vận hành hệ thống </w:t>
      </w:r>
      <w:r w:rsidR="00EE7754">
        <w:rPr>
          <w:rFonts w:cs="Times New Roman"/>
          <w:sz w:val="28"/>
          <w:szCs w:val="28"/>
        </w:rPr>
        <w:t xml:space="preserve">điện </w:t>
      </w:r>
      <w:r w:rsidR="008D6DB8" w:rsidRPr="008D6DB8">
        <w:rPr>
          <w:rFonts w:cs="Times New Roman"/>
          <w:sz w:val="28"/>
          <w:szCs w:val="28"/>
        </w:rPr>
        <w:t>hiệu quả hơn, tiết kiệm chi phí đầu tư và sử dụng hợp lý nguồn lực xã hội.</w:t>
      </w:r>
    </w:p>
    <w:p w14:paraId="7E6310D3" w14:textId="77777777" w:rsidR="003A1712" w:rsidRPr="009F66CA" w:rsidRDefault="003A1712" w:rsidP="00AA235D">
      <w:pPr>
        <w:numPr>
          <w:ilvl w:val="0"/>
          <w:numId w:val="3"/>
        </w:numPr>
        <w:spacing w:after="120" w:line="240" w:lineRule="auto"/>
        <w:jc w:val="both"/>
        <w:rPr>
          <w:rFonts w:eastAsia="Times New Roman" w:cs="Times New Roman"/>
          <w:b/>
          <w:bCs/>
          <w:sz w:val="28"/>
          <w:szCs w:val="28"/>
        </w:rPr>
      </w:pPr>
      <w:r w:rsidRPr="009F66CA">
        <w:rPr>
          <w:rFonts w:eastAsia="Times New Roman" w:cs="Times New Roman"/>
          <w:b/>
          <w:bCs/>
          <w:sz w:val="28"/>
          <w:szCs w:val="28"/>
        </w:rPr>
        <w:t>Đối tượng tham gia thử nghiệm trên giấy giá bán điện 02 thành phần</w:t>
      </w:r>
    </w:p>
    <w:p w14:paraId="3989669D" w14:textId="77777777" w:rsidR="003A1712" w:rsidRPr="003A1712" w:rsidRDefault="003A1712" w:rsidP="00AA235D">
      <w:pPr>
        <w:spacing w:after="120" w:line="240" w:lineRule="auto"/>
        <w:ind w:firstLine="567"/>
        <w:jc w:val="both"/>
        <w:rPr>
          <w:rFonts w:cs="Times New Roman"/>
          <w:sz w:val="28"/>
          <w:szCs w:val="28"/>
        </w:rPr>
      </w:pPr>
      <w:r w:rsidRPr="003A1712">
        <w:rPr>
          <w:rFonts w:cs="Times New Roman"/>
          <w:sz w:val="28"/>
          <w:szCs w:val="28"/>
        </w:rPr>
        <w:t>Khách hàng sử dụng điện lớn phục vụ mục đích sản xuất do các đơn vị thành viên của Tập đoàn Điện lực Việt Nam bán lẻ điện trực tiếp, có sản lượng điện tiêu thụ bình quân từ 200.000kWh/tháng trở lên (tính trung bình 12 tháng gần nhất).</w:t>
      </w:r>
    </w:p>
    <w:p w14:paraId="7C3A3366" w14:textId="34A1CAD8" w:rsidR="007217D0" w:rsidRPr="009F66CA" w:rsidRDefault="007217D0" w:rsidP="00AA235D">
      <w:pPr>
        <w:numPr>
          <w:ilvl w:val="0"/>
          <w:numId w:val="3"/>
        </w:numPr>
        <w:spacing w:after="120" w:line="240" w:lineRule="auto"/>
        <w:jc w:val="both"/>
        <w:rPr>
          <w:rFonts w:eastAsia="Times New Roman" w:cs="Times New Roman"/>
          <w:b/>
          <w:bCs/>
          <w:sz w:val="28"/>
          <w:szCs w:val="28"/>
        </w:rPr>
      </w:pPr>
      <w:r w:rsidRPr="009F66CA">
        <w:rPr>
          <w:rFonts w:eastAsia="Times New Roman" w:cs="Times New Roman"/>
          <w:b/>
          <w:bCs/>
          <w:sz w:val="28"/>
          <w:szCs w:val="28"/>
        </w:rPr>
        <w:t>Tính toán giá bán điện 02 thành phần</w:t>
      </w:r>
    </w:p>
    <w:p w14:paraId="5FD2D234" w14:textId="77777777" w:rsidR="007217D0" w:rsidRPr="00DA71E9" w:rsidRDefault="007217D0" w:rsidP="00AA235D">
      <w:pPr>
        <w:tabs>
          <w:tab w:val="left" w:pos="993"/>
        </w:tabs>
        <w:spacing w:after="120" w:line="240" w:lineRule="auto"/>
        <w:ind w:firstLine="567"/>
        <w:jc w:val="both"/>
        <w:rPr>
          <w:rFonts w:eastAsia="Aptos" w:cs="Times New Roman"/>
          <w:sz w:val="28"/>
        </w:rPr>
      </w:pPr>
      <w:r w:rsidRPr="00DA71E9">
        <w:rPr>
          <w:rFonts w:eastAsia="Aptos" w:cs="Times New Roman"/>
          <w:sz w:val="28"/>
        </w:rPr>
        <w:t>Tổng số tiền điện khách hàng theo giá điện 02 thành phần được tính theo công thức:</w:t>
      </w:r>
    </w:p>
    <w:p w14:paraId="35D7025D" w14:textId="77777777" w:rsidR="007217D0" w:rsidRPr="00DA71E9" w:rsidRDefault="007217D0" w:rsidP="00AA235D">
      <w:pPr>
        <w:tabs>
          <w:tab w:val="left" w:pos="993"/>
        </w:tabs>
        <w:spacing w:after="120" w:line="240" w:lineRule="auto"/>
        <w:ind w:firstLine="567"/>
        <w:jc w:val="center"/>
        <w:rPr>
          <w:rFonts w:eastAsia="Aptos" w:cs="Times New Roman"/>
          <w:sz w:val="28"/>
        </w:rPr>
      </w:pPr>
      <m:oMathPara>
        <m:oMath>
          <m:r>
            <w:rPr>
              <w:rFonts w:ascii="Cambria Math" w:eastAsia="Aptos" w:hAnsi="Cambria Math" w:cs="Times New Roman"/>
              <w:sz w:val="28"/>
            </w:rPr>
            <m:t>TC=</m:t>
          </m:r>
          <m:sSub>
            <m:sSubPr>
              <m:ctrlPr>
                <w:rPr>
                  <w:rFonts w:ascii="Cambria Math" w:eastAsia="Aptos" w:hAnsi="Cambria Math" w:cs="Times New Roman"/>
                  <w:i/>
                  <w:sz w:val="28"/>
                </w:rPr>
              </m:ctrlPr>
            </m:sSubPr>
            <m:e>
              <m:r>
                <w:rPr>
                  <w:rFonts w:ascii="Cambria Math" w:eastAsia="Aptos" w:hAnsi="Cambria Math" w:cs="Times New Roman"/>
                  <w:sz w:val="28"/>
                </w:rPr>
                <m:t>C</m:t>
              </m:r>
            </m:e>
            <m:sub>
              <m:r>
                <w:rPr>
                  <w:rFonts w:ascii="Cambria Math" w:eastAsia="Aptos" w:hAnsi="Cambria Math" w:cs="Times New Roman"/>
                  <w:sz w:val="28"/>
                </w:rPr>
                <m:t>p</m:t>
              </m:r>
            </m:sub>
          </m:sSub>
          <m:r>
            <w:rPr>
              <w:rFonts w:ascii="Cambria Math" w:eastAsia="Aptos" w:hAnsi="Cambria Math" w:cs="Times New Roman"/>
              <w:sz w:val="28"/>
            </w:rPr>
            <m:t>×</m:t>
          </m:r>
          <m:sSub>
            <m:sSubPr>
              <m:ctrlPr>
                <w:rPr>
                  <w:rFonts w:ascii="Cambria Math" w:eastAsia="Aptos" w:hAnsi="Cambria Math" w:cs="Times New Roman"/>
                  <w:i/>
                  <w:sz w:val="28"/>
                </w:rPr>
              </m:ctrlPr>
            </m:sSubPr>
            <m:e>
              <m:r>
                <w:rPr>
                  <w:rFonts w:ascii="Cambria Math" w:eastAsia="Aptos" w:hAnsi="Cambria Math" w:cs="Times New Roman"/>
                  <w:sz w:val="28"/>
                </w:rPr>
                <m:t>P</m:t>
              </m:r>
            </m:e>
            <m:sub>
              <m:r>
                <w:rPr>
                  <w:rFonts w:ascii="Cambria Math" w:eastAsia="Aptos" w:hAnsi="Cambria Math" w:cs="Times New Roman"/>
                  <w:sz w:val="28"/>
                </w:rPr>
                <m:t>max</m:t>
              </m:r>
            </m:sub>
          </m:sSub>
          <m:r>
            <w:rPr>
              <w:rFonts w:ascii="Cambria Math" w:eastAsia="Aptos" w:hAnsi="Cambria Math" w:cs="Times New Roman"/>
              <w:sz w:val="28"/>
            </w:rPr>
            <m:t>+</m:t>
          </m:r>
          <m:sSub>
            <m:sSubPr>
              <m:ctrlPr>
                <w:rPr>
                  <w:rFonts w:ascii="Cambria Math" w:eastAsia="Aptos" w:hAnsi="Cambria Math" w:cs="Times New Roman"/>
                  <w:i/>
                  <w:sz w:val="28"/>
                </w:rPr>
              </m:ctrlPr>
            </m:sSubPr>
            <m:e>
              <m:r>
                <w:rPr>
                  <w:rFonts w:ascii="Cambria Math" w:eastAsia="Aptos" w:hAnsi="Cambria Math" w:cs="Times New Roman"/>
                  <w:sz w:val="28"/>
                </w:rPr>
                <m:t>C</m:t>
              </m:r>
            </m:e>
            <m:sub>
              <m:r>
                <w:rPr>
                  <w:rFonts w:ascii="Cambria Math" w:eastAsia="Aptos" w:hAnsi="Cambria Math" w:cs="Times New Roman"/>
                  <w:sz w:val="28"/>
                </w:rPr>
                <m:t>a</m:t>
              </m:r>
            </m:sub>
          </m:sSub>
          <m:r>
            <w:rPr>
              <w:rFonts w:ascii="Cambria Math" w:eastAsia="Aptos" w:hAnsi="Cambria Math" w:cs="Times New Roman"/>
              <w:sz w:val="28"/>
            </w:rPr>
            <m:t>×</m:t>
          </m:r>
          <m:sSub>
            <m:sSubPr>
              <m:ctrlPr>
                <w:rPr>
                  <w:rFonts w:ascii="Cambria Math" w:eastAsia="Aptos" w:hAnsi="Cambria Math" w:cs="Times New Roman"/>
                  <w:i/>
                  <w:sz w:val="28"/>
                </w:rPr>
              </m:ctrlPr>
            </m:sSubPr>
            <m:e>
              <m:r>
                <w:rPr>
                  <w:rFonts w:ascii="Cambria Math" w:eastAsia="Aptos" w:hAnsi="Cambria Math" w:cs="Times New Roman"/>
                  <w:sz w:val="28"/>
                </w:rPr>
                <m:t>A</m:t>
              </m:r>
            </m:e>
            <m:sub>
              <m:r>
                <w:rPr>
                  <w:rFonts w:ascii="Cambria Math" w:eastAsia="Aptos" w:hAnsi="Cambria Math" w:cs="Times New Roman"/>
                  <w:sz w:val="28"/>
                </w:rPr>
                <m:t>p</m:t>
              </m:r>
            </m:sub>
          </m:sSub>
        </m:oMath>
      </m:oMathPara>
    </w:p>
    <w:p w14:paraId="14826BBA" w14:textId="77777777" w:rsidR="007217D0" w:rsidRPr="00DA71E9" w:rsidRDefault="007217D0" w:rsidP="00AA235D">
      <w:pPr>
        <w:tabs>
          <w:tab w:val="left" w:pos="993"/>
        </w:tabs>
        <w:spacing w:after="120" w:line="240" w:lineRule="auto"/>
        <w:ind w:firstLine="567"/>
        <w:jc w:val="both"/>
        <w:rPr>
          <w:rFonts w:eastAsia="Aptos" w:cs="Times New Roman"/>
          <w:sz w:val="28"/>
        </w:rPr>
      </w:pPr>
      <w:r w:rsidRPr="00DA71E9">
        <w:rPr>
          <w:rFonts w:eastAsia="Aptos" w:cs="Times New Roman"/>
          <w:sz w:val="28"/>
        </w:rPr>
        <w:t>Trong đó:</w:t>
      </w:r>
    </w:p>
    <w:p w14:paraId="6A6B6C0D" w14:textId="77777777" w:rsidR="007217D0" w:rsidRPr="00DA71E9" w:rsidRDefault="007217D0" w:rsidP="00AA235D">
      <w:pPr>
        <w:numPr>
          <w:ilvl w:val="1"/>
          <w:numId w:val="2"/>
        </w:numPr>
        <w:tabs>
          <w:tab w:val="left" w:pos="993"/>
        </w:tabs>
        <w:spacing w:after="120" w:line="240" w:lineRule="auto"/>
        <w:ind w:left="0" w:firstLine="567"/>
        <w:jc w:val="both"/>
        <w:rPr>
          <w:rFonts w:eastAsia="Aptos" w:cs="Times New Roman"/>
          <w:sz w:val="28"/>
        </w:rPr>
      </w:pPr>
      <w:r w:rsidRPr="00DA71E9">
        <w:rPr>
          <w:rFonts w:eastAsia="Aptos" w:cs="Times New Roman"/>
          <w:sz w:val="28"/>
        </w:rPr>
        <w:lastRenderedPageBreak/>
        <w:t>TC: Tổng tiền điện khách hàng theo giá điện 02 thành phần.</w:t>
      </w:r>
    </w:p>
    <w:p w14:paraId="361D1261" w14:textId="4186DC57" w:rsidR="007217D0" w:rsidRPr="0075265B" w:rsidRDefault="007217D0" w:rsidP="00AA235D">
      <w:pPr>
        <w:numPr>
          <w:ilvl w:val="1"/>
          <w:numId w:val="2"/>
        </w:numPr>
        <w:tabs>
          <w:tab w:val="left" w:pos="993"/>
        </w:tabs>
        <w:spacing w:after="120" w:line="240" w:lineRule="auto"/>
        <w:ind w:left="0" w:firstLine="567"/>
        <w:jc w:val="both"/>
        <w:rPr>
          <w:rFonts w:eastAsia="Aptos" w:cs="Times New Roman"/>
          <w:sz w:val="28"/>
        </w:rPr>
      </w:pPr>
      <w:r w:rsidRPr="0075265B">
        <w:rPr>
          <w:rFonts w:eastAsia="Aptos" w:cs="Times New Roman"/>
          <w:sz w:val="28"/>
        </w:rPr>
        <w:t>(C</w:t>
      </w:r>
      <w:r w:rsidRPr="0075265B">
        <w:rPr>
          <w:rFonts w:eastAsia="Aptos" w:cs="Times New Roman"/>
          <w:sz w:val="28"/>
          <w:vertAlign w:val="subscript"/>
        </w:rPr>
        <w:t>p</w:t>
      </w:r>
      <w:r>
        <w:rPr>
          <w:rFonts w:eastAsia="Aptos" w:cs="Times New Roman"/>
          <w:sz w:val="28"/>
        </w:rPr>
        <w:t xml:space="preserve"> </w:t>
      </w:r>
      <w:r w:rsidRPr="0075265B">
        <w:rPr>
          <w:rFonts w:eastAsia="Aptos" w:cs="Times New Roman"/>
          <w:sz w:val="28"/>
        </w:rPr>
        <w:t>× P</w:t>
      </w:r>
      <w:r w:rsidRPr="0075265B">
        <w:rPr>
          <w:rFonts w:eastAsia="Aptos" w:cs="Times New Roman"/>
          <w:sz w:val="28"/>
          <w:vertAlign w:val="subscript"/>
        </w:rPr>
        <w:t>max</w:t>
      </w:r>
      <w:r w:rsidRPr="0075265B">
        <w:rPr>
          <w:rFonts w:eastAsia="Aptos" w:cs="Times New Roman"/>
          <w:sz w:val="28"/>
        </w:rPr>
        <w:t>): Là thành phần tiền điện cho công suất sử dụng của khách hàng, phản ánh chi phí cố định mà khách hàng gây ra cho hệ thống điện.</w:t>
      </w:r>
    </w:p>
    <w:p w14:paraId="1456DD0C" w14:textId="77777777" w:rsidR="007217D0" w:rsidRPr="0075265B" w:rsidRDefault="007217D0" w:rsidP="00AA235D">
      <w:pPr>
        <w:numPr>
          <w:ilvl w:val="1"/>
          <w:numId w:val="2"/>
        </w:numPr>
        <w:tabs>
          <w:tab w:val="left" w:pos="993"/>
        </w:tabs>
        <w:spacing w:after="120" w:line="240" w:lineRule="auto"/>
        <w:ind w:left="0" w:firstLine="567"/>
        <w:jc w:val="both"/>
        <w:rPr>
          <w:rFonts w:eastAsia="Aptos" w:cs="Times New Roman"/>
          <w:sz w:val="28"/>
        </w:rPr>
      </w:pPr>
      <w:r w:rsidRPr="0075265B">
        <w:rPr>
          <w:rFonts w:eastAsia="Aptos" w:cs="Times New Roman"/>
          <w:sz w:val="28"/>
        </w:rPr>
        <w:t>C</w:t>
      </w:r>
      <w:r w:rsidRPr="0075265B">
        <w:rPr>
          <w:rFonts w:eastAsia="Aptos" w:cs="Times New Roman"/>
          <w:sz w:val="28"/>
          <w:vertAlign w:val="subscript"/>
        </w:rPr>
        <w:t>p</w:t>
      </w:r>
      <w:r w:rsidRPr="0075265B">
        <w:rPr>
          <w:rFonts w:eastAsia="Aptos" w:cs="Times New Roman"/>
          <w:sz w:val="28"/>
        </w:rPr>
        <w:t>: Là đơn giá công suất, được tính bằng đơn vị đồng/kW/tháng.</w:t>
      </w:r>
    </w:p>
    <w:p w14:paraId="636AC59D" w14:textId="77777777" w:rsidR="007217D0" w:rsidRPr="0075265B" w:rsidRDefault="007217D0" w:rsidP="00AA235D">
      <w:pPr>
        <w:numPr>
          <w:ilvl w:val="1"/>
          <w:numId w:val="2"/>
        </w:numPr>
        <w:tabs>
          <w:tab w:val="left" w:pos="993"/>
        </w:tabs>
        <w:spacing w:after="120" w:line="240" w:lineRule="auto"/>
        <w:ind w:left="0" w:firstLine="567"/>
        <w:jc w:val="both"/>
        <w:rPr>
          <w:rFonts w:eastAsia="Aptos" w:cs="Times New Roman"/>
          <w:sz w:val="28"/>
        </w:rPr>
      </w:pPr>
      <w:r w:rsidRPr="0075265B">
        <w:rPr>
          <w:rFonts w:eastAsia="Aptos" w:cs="Times New Roman"/>
          <w:sz w:val="28"/>
        </w:rPr>
        <w:t>P</w:t>
      </w:r>
      <w:r w:rsidRPr="0075265B">
        <w:rPr>
          <w:rFonts w:eastAsia="Aptos" w:cs="Times New Roman"/>
          <w:sz w:val="28"/>
          <w:vertAlign w:val="subscript"/>
        </w:rPr>
        <w:t>max</w:t>
      </w:r>
      <w:r w:rsidRPr="0075265B">
        <w:rPr>
          <w:rFonts w:eastAsia="Aptos" w:cs="Times New Roman"/>
          <w:sz w:val="28"/>
        </w:rPr>
        <w:t>: Là công suất cực đại của khách hàng trong tháng (kW) được xác định bởi công tơ đo đếm (là công suất trung bình trong khoảng thời gian tích phân có giá trị lớn nhất của tháng, khoảng thời gian tích phân hiện nay đang là 30 phút). Trường hợp bên mua điện ký một Hợp đồng cho nhiều công tơ đo đếm điện tại một địa điểm thì P</w:t>
      </w:r>
      <w:r w:rsidRPr="0075265B">
        <w:rPr>
          <w:rFonts w:eastAsia="Aptos" w:cs="Times New Roman"/>
          <w:sz w:val="28"/>
          <w:vertAlign w:val="subscript"/>
        </w:rPr>
        <w:t>max</w:t>
      </w:r>
      <w:r w:rsidRPr="0075265B">
        <w:rPr>
          <w:rFonts w:eastAsia="Aptos" w:cs="Times New Roman"/>
          <w:sz w:val="28"/>
        </w:rPr>
        <w:t xml:space="preserve"> tính theo giá trị đo đếm được của từng công tơ.</w:t>
      </w:r>
    </w:p>
    <w:p w14:paraId="122BF0FA" w14:textId="77777777" w:rsidR="007217D0" w:rsidRPr="00DA71E9" w:rsidRDefault="007217D0" w:rsidP="00AA235D">
      <w:pPr>
        <w:numPr>
          <w:ilvl w:val="1"/>
          <w:numId w:val="2"/>
        </w:numPr>
        <w:tabs>
          <w:tab w:val="left" w:pos="993"/>
        </w:tabs>
        <w:spacing w:after="120" w:line="240" w:lineRule="auto"/>
        <w:ind w:left="0" w:firstLine="567"/>
        <w:jc w:val="both"/>
        <w:rPr>
          <w:rFonts w:eastAsia="Aptos" w:cs="Times New Roman"/>
          <w:sz w:val="28"/>
        </w:rPr>
      </w:pPr>
      <w:r w:rsidRPr="0075265B">
        <w:rPr>
          <w:rFonts w:eastAsia="Aptos" w:cs="Times New Roman"/>
          <w:sz w:val="28"/>
        </w:rPr>
        <w:t>(C</w:t>
      </w:r>
      <w:r w:rsidRPr="0075265B">
        <w:rPr>
          <w:rFonts w:eastAsia="Aptos" w:cs="Times New Roman"/>
          <w:sz w:val="28"/>
          <w:vertAlign w:val="subscript"/>
        </w:rPr>
        <w:t>a</w:t>
      </w:r>
      <w:r w:rsidRPr="0075265B">
        <w:rPr>
          <w:rFonts w:eastAsia="Aptos" w:cs="Times New Roman"/>
          <w:sz w:val="28"/>
        </w:rPr>
        <w:t xml:space="preserve"> × A</w:t>
      </w:r>
      <w:r w:rsidRPr="0075265B">
        <w:rPr>
          <w:rFonts w:eastAsia="Aptos" w:cs="Times New Roman"/>
          <w:sz w:val="28"/>
          <w:vertAlign w:val="subscript"/>
        </w:rPr>
        <w:t>p</w:t>
      </w:r>
      <w:r w:rsidRPr="0075265B">
        <w:rPr>
          <w:rFonts w:eastAsia="Aptos" w:cs="Times New Roman"/>
          <w:sz w:val="28"/>
        </w:rPr>
        <w:t xml:space="preserve">): Là thành phần tiền điện cho điện năng thực tế tiêu thụ của khách hàng, phản ánh chi phí biến đổi của quá trình cung ứng </w:t>
      </w:r>
      <w:r w:rsidRPr="00DA71E9">
        <w:rPr>
          <w:rFonts w:eastAsia="Aptos" w:cs="Times New Roman"/>
          <w:sz w:val="28"/>
        </w:rPr>
        <w:t>điện.</w:t>
      </w:r>
    </w:p>
    <w:p w14:paraId="3AC87199" w14:textId="77777777" w:rsidR="007217D0" w:rsidRPr="00DA71E9" w:rsidRDefault="007217D0" w:rsidP="00AA235D">
      <w:pPr>
        <w:numPr>
          <w:ilvl w:val="1"/>
          <w:numId w:val="2"/>
        </w:numPr>
        <w:tabs>
          <w:tab w:val="left" w:pos="993"/>
        </w:tabs>
        <w:spacing w:after="120" w:line="240" w:lineRule="auto"/>
        <w:ind w:left="0" w:firstLine="567"/>
        <w:jc w:val="both"/>
        <w:rPr>
          <w:rFonts w:eastAsia="Aptos" w:cs="Times New Roman"/>
          <w:sz w:val="28"/>
        </w:rPr>
      </w:pPr>
      <w:r w:rsidRPr="00DA71E9">
        <w:rPr>
          <w:rFonts w:eastAsia="Aptos" w:cs="Times New Roman"/>
          <w:sz w:val="28"/>
        </w:rPr>
        <w:t>C</w:t>
      </w:r>
      <w:r w:rsidRPr="00DA71E9">
        <w:rPr>
          <w:rFonts w:eastAsia="Aptos" w:cs="Times New Roman"/>
          <w:sz w:val="28"/>
          <w:vertAlign w:val="subscript"/>
        </w:rPr>
        <w:t>a</w:t>
      </w:r>
      <w:r w:rsidRPr="00DA71E9">
        <w:rPr>
          <w:rFonts w:eastAsia="Aptos" w:cs="Times New Roman"/>
          <w:sz w:val="28"/>
        </w:rPr>
        <w:t>: Là đơn giá điện năng, được tính bằng đơn vị đồng/kWh. Đơn giá này có thể được thiết kế theo các khung giờ khác nhau như cao điểm, bình thường, và thấp điểm.</w:t>
      </w:r>
    </w:p>
    <w:p w14:paraId="36BADF10" w14:textId="77777777" w:rsidR="007217D0" w:rsidRDefault="007217D0" w:rsidP="00AA235D">
      <w:pPr>
        <w:numPr>
          <w:ilvl w:val="1"/>
          <w:numId w:val="2"/>
        </w:numPr>
        <w:tabs>
          <w:tab w:val="left" w:pos="993"/>
        </w:tabs>
        <w:spacing w:after="120" w:line="240" w:lineRule="auto"/>
        <w:ind w:left="0" w:firstLine="567"/>
        <w:jc w:val="both"/>
        <w:rPr>
          <w:rFonts w:eastAsia="Aptos" w:cs="Times New Roman"/>
          <w:sz w:val="28"/>
        </w:rPr>
      </w:pPr>
      <w:r w:rsidRPr="00DA71E9">
        <w:rPr>
          <w:rFonts w:eastAsia="Aptos" w:cs="Times New Roman"/>
          <w:sz w:val="28"/>
        </w:rPr>
        <w:t>A</w:t>
      </w:r>
      <w:r w:rsidRPr="00DA71E9">
        <w:rPr>
          <w:rFonts w:eastAsia="Aptos" w:cs="Times New Roman"/>
          <w:sz w:val="28"/>
          <w:vertAlign w:val="subscript"/>
        </w:rPr>
        <w:t>p</w:t>
      </w:r>
      <w:r w:rsidRPr="00DA71E9">
        <w:rPr>
          <w:rFonts w:eastAsia="Aptos" w:cs="Times New Roman"/>
          <w:sz w:val="28"/>
        </w:rPr>
        <w:t>: điện năng tác dụng trong chu kỳ ghi chỉ số công tơ (kWh).</w:t>
      </w:r>
    </w:p>
    <w:p w14:paraId="3A0C328B" w14:textId="4BCF8B4D" w:rsidR="007217D0" w:rsidRPr="00A71F48" w:rsidRDefault="007217D0" w:rsidP="00AA235D">
      <w:pPr>
        <w:numPr>
          <w:ilvl w:val="0"/>
          <w:numId w:val="3"/>
        </w:numPr>
        <w:spacing w:after="120" w:line="240" w:lineRule="auto"/>
        <w:jc w:val="both"/>
        <w:rPr>
          <w:rFonts w:eastAsia="Times New Roman" w:cs="Times New Roman"/>
          <w:b/>
          <w:bCs/>
          <w:sz w:val="28"/>
          <w:szCs w:val="28"/>
        </w:rPr>
      </w:pPr>
      <w:r w:rsidRPr="00A71F48">
        <w:rPr>
          <w:rFonts w:eastAsia="Times New Roman" w:cs="Times New Roman"/>
          <w:b/>
          <w:bCs/>
          <w:sz w:val="28"/>
          <w:szCs w:val="28"/>
        </w:rPr>
        <w:t xml:space="preserve">Biểu giá </w:t>
      </w:r>
      <w:r w:rsidR="003F1741" w:rsidRPr="00A71F48">
        <w:rPr>
          <w:rFonts w:eastAsia="Times New Roman" w:cs="Times New Roman"/>
          <w:b/>
          <w:bCs/>
          <w:sz w:val="28"/>
          <w:szCs w:val="28"/>
        </w:rPr>
        <w:t>thử nghiệm</w:t>
      </w:r>
      <w:r w:rsidRPr="00A71F48">
        <w:rPr>
          <w:rFonts w:eastAsia="Times New Roman" w:cs="Times New Roman"/>
          <w:b/>
          <w:bCs/>
          <w:sz w:val="28"/>
          <w:szCs w:val="28"/>
        </w:rPr>
        <w:t xml:space="preserve"> giá bán điện 02 thành phần</w:t>
      </w:r>
    </w:p>
    <w:p w14:paraId="00FBCE26" w14:textId="2B463D78" w:rsidR="007217D0" w:rsidRPr="00DA71E9" w:rsidRDefault="007217D0" w:rsidP="00AA235D">
      <w:pPr>
        <w:tabs>
          <w:tab w:val="left" w:pos="993"/>
        </w:tabs>
        <w:spacing w:after="120" w:line="240" w:lineRule="auto"/>
        <w:ind w:firstLine="567"/>
        <w:jc w:val="both"/>
        <w:rPr>
          <w:rFonts w:eastAsia="Aptos" w:cs="Times New Roman"/>
          <w:sz w:val="28"/>
        </w:rPr>
      </w:pPr>
      <w:r w:rsidRPr="00DA71E9">
        <w:rPr>
          <w:rFonts w:eastAsia="Aptos" w:cs="Times New Roman"/>
          <w:sz w:val="28"/>
        </w:rPr>
        <w:t>Đối với nhóm khách hàng sản xuất được lựa chọn tham gia thí điểm trên</w:t>
      </w:r>
      <w:r w:rsidR="005759A4">
        <w:rPr>
          <w:rFonts w:eastAsia="Aptos" w:cs="Times New Roman"/>
          <w:sz w:val="28"/>
        </w:rPr>
        <w:t xml:space="preserve"> </w:t>
      </w:r>
      <w:r w:rsidRPr="00DA71E9">
        <w:rPr>
          <w:rFonts w:eastAsia="Aptos" w:cs="Times New Roman"/>
          <w:sz w:val="28"/>
        </w:rPr>
        <w:t xml:space="preserve">giấy, áp dụng biểu giá </w:t>
      </w:r>
      <w:r w:rsidR="00F236A8">
        <w:rPr>
          <w:rFonts w:eastAsia="Aptos" w:cs="Times New Roman"/>
          <w:sz w:val="28"/>
        </w:rPr>
        <w:t>thử nghiệm</w:t>
      </w:r>
      <w:r w:rsidRPr="00DA71E9">
        <w:rPr>
          <w:rFonts w:eastAsia="Aptos" w:cs="Times New Roman"/>
          <w:sz w:val="28"/>
        </w:rPr>
        <w:t xml:space="preserve"> như sau:</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4"/>
        <w:gridCol w:w="1984"/>
        <w:gridCol w:w="1474"/>
        <w:gridCol w:w="1474"/>
        <w:gridCol w:w="1474"/>
      </w:tblGrid>
      <w:tr w:rsidR="007217D0" w:rsidRPr="00DA71E9" w14:paraId="03FFE8F1" w14:textId="77777777" w:rsidTr="00765E67">
        <w:trPr>
          <w:trHeight w:val="397"/>
          <w:jc w:val="center"/>
        </w:trPr>
        <w:tc>
          <w:tcPr>
            <w:tcW w:w="3114" w:type="dxa"/>
            <w:vMerge w:val="restart"/>
            <w:vAlign w:val="center"/>
            <w:hideMark/>
          </w:tcPr>
          <w:p w14:paraId="57203E80" w14:textId="77777777" w:rsidR="007217D0" w:rsidRPr="00DA71E9" w:rsidRDefault="007217D0" w:rsidP="00AA235D">
            <w:pPr>
              <w:spacing w:after="120" w:line="240" w:lineRule="auto"/>
              <w:jc w:val="center"/>
              <w:rPr>
                <w:rFonts w:eastAsia="Times New Roman" w:cs="Times New Roman"/>
                <w:b/>
                <w:bCs/>
                <w:szCs w:val="24"/>
              </w:rPr>
            </w:pPr>
            <w:r w:rsidRPr="00DA71E9">
              <w:rPr>
                <w:rFonts w:eastAsia="Times New Roman" w:cs="Times New Roman"/>
                <w:b/>
                <w:bCs/>
                <w:szCs w:val="24"/>
              </w:rPr>
              <w:t>Cấp điện áp</w:t>
            </w:r>
          </w:p>
        </w:tc>
        <w:tc>
          <w:tcPr>
            <w:tcW w:w="1984" w:type="dxa"/>
            <w:vMerge w:val="restart"/>
            <w:vAlign w:val="center"/>
            <w:hideMark/>
          </w:tcPr>
          <w:p w14:paraId="0B0AA546" w14:textId="77777777" w:rsidR="007217D0" w:rsidRPr="00DA71E9" w:rsidRDefault="007217D0" w:rsidP="00AA235D">
            <w:pPr>
              <w:spacing w:after="120" w:line="240" w:lineRule="auto"/>
              <w:jc w:val="center"/>
              <w:rPr>
                <w:rFonts w:eastAsia="Times New Roman" w:cs="Times New Roman"/>
                <w:b/>
                <w:bCs/>
                <w:szCs w:val="24"/>
              </w:rPr>
            </w:pPr>
            <w:r w:rsidRPr="00DA71E9">
              <w:rPr>
                <w:rFonts w:eastAsia="Times New Roman" w:cs="Times New Roman"/>
                <w:b/>
                <w:bCs/>
                <w:szCs w:val="24"/>
              </w:rPr>
              <w:t>Giá công suất (đồng/kW/tháng)</w:t>
            </w:r>
          </w:p>
        </w:tc>
        <w:tc>
          <w:tcPr>
            <w:tcW w:w="4422" w:type="dxa"/>
            <w:gridSpan w:val="3"/>
            <w:vAlign w:val="center"/>
            <w:hideMark/>
          </w:tcPr>
          <w:p w14:paraId="3273152B" w14:textId="77777777" w:rsidR="007217D0" w:rsidRPr="00DA71E9" w:rsidRDefault="007217D0" w:rsidP="00AA235D">
            <w:pPr>
              <w:spacing w:after="120" w:line="240" w:lineRule="auto"/>
              <w:jc w:val="center"/>
              <w:rPr>
                <w:rFonts w:eastAsia="Times New Roman" w:cs="Times New Roman"/>
                <w:b/>
                <w:bCs/>
                <w:szCs w:val="24"/>
              </w:rPr>
            </w:pPr>
            <w:r w:rsidRPr="00DA71E9">
              <w:rPr>
                <w:rFonts w:eastAsia="Times New Roman" w:cs="Times New Roman"/>
                <w:b/>
                <w:bCs/>
                <w:szCs w:val="24"/>
              </w:rPr>
              <w:t>Giá điện năng (đồng/kWh)</w:t>
            </w:r>
          </w:p>
        </w:tc>
      </w:tr>
      <w:tr w:rsidR="007217D0" w:rsidRPr="00DA71E9" w14:paraId="486FB896" w14:textId="77777777" w:rsidTr="00765E67">
        <w:trPr>
          <w:trHeight w:val="397"/>
          <w:jc w:val="center"/>
        </w:trPr>
        <w:tc>
          <w:tcPr>
            <w:tcW w:w="3114" w:type="dxa"/>
            <w:vMerge/>
            <w:vAlign w:val="center"/>
            <w:hideMark/>
          </w:tcPr>
          <w:p w14:paraId="0B98229F" w14:textId="77777777" w:rsidR="007217D0" w:rsidRPr="00DA71E9" w:rsidRDefault="007217D0" w:rsidP="00AA235D">
            <w:pPr>
              <w:spacing w:after="120" w:line="240" w:lineRule="auto"/>
              <w:jc w:val="center"/>
              <w:rPr>
                <w:rFonts w:eastAsia="Times New Roman" w:cs="Times New Roman"/>
                <w:b/>
                <w:bCs/>
                <w:szCs w:val="24"/>
              </w:rPr>
            </w:pPr>
          </w:p>
        </w:tc>
        <w:tc>
          <w:tcPr>
            <w:tcW w:w="1984" w:type="dxa"/>
            <w:vMerge/>
            <w:vAlign w:val="center"/>
            <w:hideMark/>
          </w:tcPr>
          <w:p w14:paraId="6674E2A9" w14:textId="77777777" w:rsidR="007217D0" w:rsidRPr="00DA71E9" w:rsidRDefault="007217D0" w:rsidP="00AA235D">
            <w:pPr>
              <w:spacing w:after="120" w:line="240" w:lineRule="auto"/>
              <w:jc w:val="center"/>
              <w:rPr>
                <w:rFonts w:eastAsia="Times New Roman" w:cs="Times New Roman"/>
                <w:b/>
                <w:bCs/>
                <w:sz w:val="20"/>
                <w:szCs w:val="20"/>
              </w:rPr>
            </w:pPr>
          </w:p>
        </w:tc>
        <w:tc>
          <w:tcPr>
            <w:tcW w:w="1474" w:type="dxa"/>
            <w:vAlign w:val="center"/>
            <w:hideMark/>
          </w:tcPr>
          <w:p w14:paraId="2D285060" w14:textId="6A000078" w:rsidR="007217D0" w:rsidRPr="00447DC5" w:rsidRDefault="003B7001" w:rsidP="00AA235D">
            <w:pPr>
              <w:spacing w:after="120" w:line="240" w:lineRule="auto"/>
              <w:jc w:val="center"/>
              <w:rPr>
                <w:rFonts w:eastAsia="Times New Roman" w:cs="Times New Roman"/>
                <w:b/>
                <w:bCs/>
                <w:szCs w:val="24"/>
              </w:rPr>
            </w:pPr>
            <w:r w:rsidRPr="00447DC5">
              <w:rPr>
                <w:rFonts w:eastAsia="Times New Roman" w:cs="Times New Roman"/>
                <w:b/>
                <w:bCs/>
                <w:szCs w:val="24"/>
              </w:rPr>
              <w:t>Bình thường</w:t>
            </w:r>
          </w:p>
        </w:tc>
        <w:tc>
          <w:tcPr>
            <w:tcW w:w="1474" w:type="dxa"/>
          </w:tcPr>
          <w:p w14:paraId="7EA04AB0" w14:textId="61147CAE" w:rsidR="007217D0" w:rsidRPr="00447DC5" w:rsidRDefault="003B7001" w:rsidP="00AA235D">
            <w:pPr>
              <w:spacing w:after="120" w:line="240" w:lineRule="auto"/>
              <w:jc w:val="center"/>
              <w:rPr>
                <w:rFonts w:eastAsia="Times New Roman" w:cs="Times New Roman"/>
                <w:b/>
                <w:bCs/>
                <w:szCs w:val="24"/>
              </w:rPr>
            </w:pPr>
            <w:r w:rsidRPr="00447DC5">
              <w:rPr>
                <w:rFonts w:eastAsia="Times New Roman" w:cs="Times New Roman"/>
                <w:b/>
                <w:bCs/>
                <w:szCs w:val="24"/>
              </w:rPr>
              <w:t>Cao điểm</w:t>
            </w:r>
          </w:p>
        </w:tc>
        <w:tc>
          <w:tcPr>
            <w:tcW w:w="1474" w:type="dxa"/>
          </w:tcPr>
          <w:p w14:paraId="665E3DA4" w14:textId="77777777" w:rsidR="007217D0" w:rsidRPr="00F236A8" w:rsidRDefault="007217D0" w:rsidP="00AA235D">
            <w:pPr>
              <w:spacing w:after="120" w:line="240" w:lineRule="auto"/>
              <w:jc w:val="center"/>
              <w:rPr>
                <w:rFonts w:eastAsia="Times New Roman" w:cs="Times New Roman"/>
                <w:b/>
                <w:bCs/>
                <w:szCs w:val="24"/>
              </w:rPr>
            </w:pPr>
            <w:r w:rsidRPr="00F236A8">
              <w:rPr>
                <w:rFonts w:eastAsia="Times New Roman" w:cs="Times New Roman"/>
                <w:b/>
                <w:bCs/>
                <w:szCs w:val="24"/>
              </w:rPr>
              <w:t>Thấp điểm</w:t>
            </w:r>
          </w:p>
        </w:tc>
      </w:tr>
      <w:tr w:rsidR="007217D0" w:rsidRPr="00DA71E9" w14:paraId="77923866" w14:textId="77777777" w:rsidTr="00765E67">
        <w:trPr>
          <w:trHeight w:val="397"/>
          <w:jc w:val="center"/>
        </w:trPr>
        <w:tc>
          <w:tcPr>
            <w:tcW w:w="3114" w:type="dxa"/>
            <w:vAlign w:val="center"/>
            <w:hideMark/>
          </w:tcPr>
          <w:p w14:paraId="01091D93" w14:textId="77777777" w:rsidR="007217D0" w:rsidRPr="00DA71E9" w:rsidRDefault="007217D0" w:rsidP="00AA235D">
            <w:pPr>
              <w:spacing w:after="0" w:line="240" w:lineRule="auto"/>
              <w:rPr>
                <w:rFonts w:eastAsia="Times New Roman" w:cs="Times New Roman"/>
                <w:szCs w:val="24"/>
              </w:rPr>
            </w:pPr>
            <w:r w:rsidRPr="00DA71E9">
              <w:rPr>
                <w:rFonts w:eastAsia="Times New Roman" w:cs="Times New Roman"/>
                <w:szCs w:val="24"/>
              </w:rPr>
              <w:t>Cao áp (U ≥ 110kV)</w:t>
            </w:r>
          </w:p>
        </w:tc>
        <w:tc>
          <w:tcPr>
            <w:tcW w:w="1984" w:type="dxa"/>
            <w:vAlign w:val="center"/>
            <w:hideMark/>
          </w:tcPr>
          <w:p w14:paraId="55C04407" w14:textId="77777777" w:rsidR="007217D0" w:rsidRPr="00DA71E9" w:rsidRDefault="007217D0" w:rsidP="00AA235D">
            <w:pPr>
              <w:spacing w:after="0" w:line="240" w:lineRule="auto"/>
              <w:jc w:val="center"/>
              <w:rPr>
                <w:rFonts w:eastAsia="Times New Roman" w:cs="Times New Roman"/>
                <w:szCs w:val="24"/>
              </w:rPr>
            </w:pPr>
            <w:r w:rsidRPr="00DA71E9">
              <w:rPr>
                <w:rFonts w:eastAsia="Times New Roman" w:cs="Times New Roman"/>
                <w:szCs w:val="24"/>
              </w:rPr>
              <w:t>209.459</w:t>
            </w:r>
          </w:p>
        </w:tc>
        <w:tc>
          <w:tcPr>
            <w:tcW w:w="1474" w:type="dxa"/>
            <w:vAlign w:val="center"/>
            <w:hideMark/>
          </w:tcPr>
          <w:p w14:paraId="4BFEA027" w14:textId="77777777" w:rsidR="007217D0" w:rsidRPr="00DA71E9" w:rsidRDefault="007217D0" w:rsidP="00AA235D">
            <w:pPr>
              <w:spacing w:after="0" w:line="240" w:lineRule="auto"/>
              <w:jc w:val="center"/>
              <w:rPr>
                <w:rFonts w:eastAsia="Times New Roman" w:cs="Times New Roman"/>
                <w:szCs w:val="24"/>
              </w:rPr>
            </w:pPr>
            <w:r w:rsidRPr="00DA71E9">
              <w:rPr>
                <w:rFonts w:eastAsia="Times New Roman" w:cs="Times New Roman"/>
                <w:szCs w:val="24"/>
              </w:rPr>
              <w:t>1.253</w:t>
            </w:r>
          </w:p>
        </w:tc>
        <w:tc>
          <w:tcPr>
            <w:tcW w:w="1474" w:type="dxa"/>
            <w:vAlign w:val="center"/>
          </w:tcPr>
          <w:p w14:paraId="0252D4C9" w14:textId="77777777" w:rsidR="007217D0" w:rsidRPr="00DA71E9" w:rsidRDefault="007217D0" w:rsidP="00AA235D">
            <w:pPr>
              <w:spacing w:after="0" w:line="240" w:lineRule="auto"/>
              <w:jc w:val="center"/>
              <w:rPr>
                <w:rFonts w:eastAsia="Times New Roman" w:cs="Times New Roman"/>
                <w:szCs w:val="24"/>
              </w:rPr>
            </w:pPr>
            <w:r w:rsidRPr="00DA71E9">
              <w:rPr>
                <w:rFonts w:eastAsia="Times New Roman" w:cs="Times New Roman"/>
                <w:szCs w:val="24"/>
              </w:rPr>
              <w:t>2.162</w:t>
            </w:r>
          </w:p>
        </w:tc>
        <w:tc>
          <w:tcPr>
            <w:tcW w:w="1474" w:type="dxa"/>
            <w:vAlign w:val="center"/>
          </w:tcPr>
          <w:p w14:paraId="3EB9C39D" w14:textId="77777777" w:rsidR="007217D0" w:rsidRPr="00DA71E9" w:rsidRDefault="007217D0" w:rsidP="00AA235D">
            <w:pPr>
              <w:spacing w:after="0" w:line="240" w:lineRule="auto"/>
              <w:jc w:val="center"/>
              <w:rPr>
                <w:rFonts w:eastAsia="Times New Roman" w:cs="Times New Roman"/>
                <w:szCs w:val="24"/>
              </w:rPr>
            </w:pPr>
            <w:r w:rsidRPr="00DA71E9">
              <w:rPr>
                <w:rFonts w:eastAsia="Times New Roman" w:cs="Times New Roman"/>
                <w:szCs w:val="24"/>
              </w:rPr>
              <w:t>843</w:t>
            </w:r>
          </w:p>
        </w:tc>
      </w:tr>
      <w:tr w:rsidR="007217D0" w:rsidRPr="00DA71E9" w14:paraId="5E13FA7A" w14:textId="77777777" w:rsidTr="00765E67">
        <w:trPr>
          <w:trHeight w:val="397"/>
          <w:jc w:val="center"/>
        </w:trPr>
        <w:tc>
          <w:tcPr>
            <w:tcW w:w="3114" w:type="dxa"/>
            <w:vAlign w:val="center"/>
            <w:hideMark/>
          </w:tcPr>
          <w:p w14:paraId="3F8A9425" w14:textId="2F0D7280" w:rsidR="007217D0" w:rsidRPr="00DA71E9" w:rsidRDefault="007217D0" w:rsidP="00AA235D">
            <w:pPr>
              <w:spacing w:after="0" w:line="240" w:lineRule="auto"/>
              <w:rPr>
                <w:rFonts w:eastAsia="Times New Roman" w:cs="Times New Roman"/>
                <w:szCs w:val="24"/>
              </w:rPr>
            </w:pPr>
            <w:r w:rsidRPr="00DA71E9">
              <w:rPr>
                <w:rFonts w:eastAsia="Times New Roman" w:cs="Times New Roman"/>
                <w:szCs w:val="24"/>
              </w:rPr>
              <w:t>Trung áp (22kV ≤ U &lt; 110kV)</w:t>
            </w:r>
          </w:p>
        </w:tc>
        <w:tc>
          <w:tcPr>
            <w:tcW w:w="1984" w:type="dxa"/>
            <w:vAlign w:val="center"/>
            <w:hideMark/>
          </w:tcPr>
          <w:p w14:paraId="42622948" w14:textId="77777777" w:rsidR="007217D0" w:rsidRPr="00DA71E9" w:rsidRDefault="007217D0" w:rsidP="00AA235D">
            <w:pPr>
              <w:spacing w:after="0" w:line="240" w:lineRule="auto"/>
              <w:jc w:val="center"/>
              <w:rPr>
                <w:rFonts w:eastAsia="Times New Roman" w:cs="Times New Roman"/>
                <w:szCs w:val="24"/>
              </w:rPr>
            </w:pPr>
            <w:r w:rsidRPr="00DA71E9">
              <w:rPr>
                <w:rFonts w:eastAsia="Times New Roman" w:cs="Times New Roman"/>
                <w:szCs w:val="24"/>
              </w:rPr>
              <w:t>235.414</w:t>
            </w:r>
          </w:p>
        </w:tc>
        <w:tc>
          <w:tcPr>
            <w:tcW w:w="1474" w:type="dxa"/>
            <w:vAlign w:val="center"/>
            <w:hideMark/>
          </w:tcPr>
          <w:p w14:paraId="4AD680D4" w14:textId="77777777" w:rsidR="007217D0" w:rsidRPr="00DA71E9" w:rsidRDefault="007217D0" w:rsidP="00AA235D">
            <w:pPr>
              <w:spacing w:after="0" w:line="240" w:lineRule="auto"/>
              <w:jc w:val="center"/>
              <w:rPr>
                <w:rFonts w:eastAsia="Times New Roman" w:cs="Times New Roman"/>
                <w:szCs w:val="24"/>
              </w:rPr>
            </w:pPr>
            <w:r w:rsidRPr="00DA71E9">
              <w:rPr>
                <w:rFonts w:eastAsia="Times New Roman" w:cs="Times New Roman"/>
                <w:szCs w:val="24"/>
              </w:rPr>
              <w:t>1.275</w:t>
            </w:r>
          </w:p>
        </w:tc>
        <w:tc>
          <w:tcPr>
            <w:tcW w:w="1474" w:type="dxa"/>
            <w:vAlign w:val="center"/>
          </w:tcPr>
          <w:p w14:paraId="22191E68" w14:textId="77777777" w:rsidR="007217D0" w:rsidRPr="00DA71E9" w:rsidRDefault="007217D0" w:rsidP="00AA235D">
            <w:pPr>
              <w:spacing w:after="0" w:line="240" w:lineRule="auto"/>
              <w:jc w:val="center"/>
              <w:rPr>
                <w:rFonts w:eastAsia="Times New Roman" w:cs="Times New Roman"/>
                <w:szCs w:val="24"/>
              </w:rPr>
            </w:pPr>
            <w:r w:rsidRPr="00DA71E9">
              <w:rPr>
                <w:rFonts w:eastAsia="Times New Roman" w:cs="Times New Roman"/>
                <w:szCs w:val="24"/>
              </w:rPr>
              <w:t>2.182</w:t>
            </w:r>
          </w:p>
        </w:tc>
        <w:tc>
          <w:tcPr>
            <w:tcW w:w="1474" w:type="dxa"/>
            <w:vAlign w:val="center"/>
          </w:tcPr>
          <w:p w14:paraId="38B04A02" w14:textId="77777777" w:rsidR="007217D0" w:rsidRPr="00DA71E9" w:rsidRDefault="007217D0" w:rsidP="00AA235D">
            <w:pPr>
              <w:spacing w:after="0" w:line="240" w:lineRule="auto"/>
              <w:jc w:val="center"/>
              <w:rPr>
                <w:rFonts w:eastAsia="Times New Roman" w:cs="Times New Roman"/>
                <w:szCs w:val="24"/>
              </w:rPr>
            </w:pPr>
            <w:r w:rsidRPr="00DA71E9">
              <w:rPr>
                <w:rFonts w:eastAsia="Times New Roman" w:cs="Times New Roman"/>
                <w:szCs w:val="24"/>
              </w:rPr>
              <w:t>859</w:t>
            </w:r>
          </w:p>
        </w:tc>
      </w:tr>
      <w:tr w:rsidR="007217D0" w:rsidRPr="00DA71E9" w14:paraId="3ED5915E" w14:textId="77777777" w:rsidTr="00765E67">
        <w:trPr>
          <w:trHeight w:val="397"/>
          <w:jc w:val="center"/>
        </w:trPr>
        <w:tc>
          <w:tcPr>
            <w:tcW w:w="3114" w:type="dxa"/>
            <w:vAlign w:val="center"/>
            <w:hideMark/>
          </w:tcPr>
          <w:p w14:paraId="3F7D0CA9" w14:textId="555167F1" w:rsidR="007217D0" w:rsidRPr="00DA71E9" w:rsidRDefault="007217D0" w:rsidP="00AA235D">
            <w:pPr>
              <w:spacing w:after="0" w:line="240" w:lineRule="auto"/>
              <w:rPr>
                <w:rFonts w:eastAsia="Times New Roman" w:cs="Times New Roman"/>
                <w:szCs w:val="24"/>
              </w:rPr>
            </w:pPr>
            <w:r w:rsidRPr="00DA71E9">
              <w:rPr>
                <w:rFonts w:eastAsia="Times New Roman" w:cs="Times New Roman"/>
                <w:szCs w:val="24"/>
              </w:rPr>
              <w:t>Trung áp (6kV ≤ U &lt; 22kV)</w:t>
            </w:r>
          </w:p>
        </w:tc>
        <w:tc>
          <w:tcPr>
            <w:tcW w:w="1984" w:type="dxa"/>
            <w:vAlign w:val="center"/>
            <w:hideMark/>
          </w:tcPr>
          <w:p w14:paraId="3B5B9047" w14:textId="77777777" w:rsidR="007217D0" w:rsidRPr="00DA71E9" w:rsidRDefault="007217D0" w:rsidP="00AA235D">
            <w:pPr>
              <w:spacing w:after="0" w:line="240" w:lineRule="auto"/>
              <w:jc w:val="center"/>
              <w:rPr>
                <w:rFonts w:eastAsia="Times New Roman" w:cs="Times New Roman"/>
                <w:szCs w:val="24"/>
              </w:rPr>
            </w:pPr>
            <w:r w:rsidRPr="00DA71E9">
              <w:rPr>
                <w:rFonts w:eastAsia="Times New Roman" w:cs="Times New Roman"/>
                <w:szCs w:val="24"/>
              </w:rPr>
              <w:t>240.050</w:t>
            </w:r>
          </w:p>
        </w:tc>
        <w:tc>
          <w:tcPr>
            <w:tcW w:w="1474" w:type="dxa"/>
            <w:vAlign w:val="center"/>
            <w:hideMark/>
          </w:tcPr>
          <w:p w14:paraId="42BAC850" w14:textId="77777777" w:rsidR="007217D0" w:rsidRPr="00DA71E9" w:rsidRDefault="007217D0" w:rsidP="00AA235D">
            <w:pPr>
              <w:spacing w:after="0" w:line="240" w:lineRule="auto"/>
              <w:jc w:val="center"/>
              <w:rPr>
                <w:rFonts w:eastAsia="Times New Roman" w:cs="Times New Roman"/>
                <w:szCs w:val="24"/>
              </w:rPr>
            </w:pPr>
            <w:r w:rsidRPr="00DA71E9">
              <w:rPr>
                <w:rFonts w:eastAsia="Times New Roman" w:cs="Times New Roman"/>
                <w:szCs w:val="24"/>
              </w:rPr>
              <w:t>1.280</w:t>
            </w:r>
          </w:p>
        </w:tc>
        <w:tc>
          <w:tcPr>
            <w:tcW w:w="1474" w:type="dxa"/>
            <w:vAlign w:val="center"/>
          </w:tcPr>
          <w:p w14:paraId="12A37AB5" w14:textId="77777777" w:rsidR="007217D0" w:rsidRPr="00DA71E9" w:rsidRDefault="007217D0" w:rsidP="00AA235D">
            <w:pPr>
              <w:spacing w:after="0" w:line="240" w:lineRule="auto"/>
              <w:jc w:val="center"/>
              <w:rPr>
                <w:rFonts w:eastAsia="Times New Roman" w:cs="Times New Roman"/>
                <w:szCs w:val="24"/>
              </w:rPr>
            </w:pPr>
            <w:r w:rsidRPr="00DA71E9">
              <w:rPr>
                <w:rFonts w:eastAsia="Times New Roman" w:cs="Times New Roman"/>
                <w:szCs w:val="24"/>
              </w:rPr>
              <w:t>2.189</w:t>
            </w:r>
          </w:p>
        </w:tc>
        <w:tc>
          <w:tcPr>
            <w:tcW w:w="1474" w:type="dxa"/>
            <w:vAlign w:val="center"/>
          </w:tcPr>
          <w:p w14:paraId="24A73CD6" w14:textId="77777777" w:rsidR="007217D0" w:rsidRPr="00DA71E9" w:rsidRDefault="007217D0" w:rsidP="00AA235D">
            <w:pPr>
              <w:spacing w:after="0" w:line="240" w:lineRule="auto"/>
              <w:jc w:val="center"/>
              <w:rPr>
                <w:rFonts w:eastAsia="Times New Roman" w:cs="Times New Roman"/>
                <w:szCs w:val="24"/>
              </w:rPr>
            </w:pPr>
            <w:r w:rsidRPr="00DA71E9">
              <w:rPr>
                <w:rFonts w:eastAsia="Times New Roman" w:cs="Times New Roman"/>
                <w:szCs w:val="24"/>
              </w:rPr>
              <w:t>871</w:t>
            </w:r>
          </w:p>
        </w:tc>
      </w:tr>
      <w:tr w:rsidR="007217D0" w:rsidRPr="00DA71E9" w14:paraId="5CED3706" w14:textId="77777777" w:rsidTr="00765E67">
        <w:trPr>
          <w:trHeight w:val="397"/>
          <w:jc w:val="center"/>
        </w:trPr>
        <w:tc>
          <w:tcPr>
            <w:tcW w:w="3114" w:type="dxa"/>
            <w:vAlign w:val="center"/>
            <w:hideMark/>
          </w:tcPr>
          <w:p w14:paraId="2236A2C2" w14:textId="77777777" w:rsidR="007217D0" w:rsidRPr="00DA71E9" w:rsidRDefault="007217D0" w:rsidP="00AA235D">
            <w:pPr>
              <w:spacing w:after="0" w:line="240" w:lineRule="auto"/>
              <w:rPr>
                <w:rFonts w:eastAsia="Times New Roman" w:cs="Times New Roman"/>
                <w:szCs w:val="24"/>
              </w:rPr>
            </w:pPr>
            <w:r w:rsidRPr="00DA71E9">
              <w:rPr>
                <w:rFonts w:eastAsia="Times New Roman" w:cs="Times New Roman"/>
                <w:szCs w:val="24"/>
              </w:rPr>
              <w:t>Hạ áp (U &lt; 6kV)</w:t>
            </w:r>
          </w:p>
        </w:tc>
        <w:tc>
          <w:tcPr>
            <w:tcW w:w="1984" w:type="dxa"/>
            <w:vAlign w:val="center"/>
            <w:hideMark/>
          </w:tcPr>
          <w:p w14:paraId="250EBDA0" w14:textId="77777777" w:rsidR="007217D0" w:rsidRPr="00DA71E9" w:rsidRDefault="007217D0" w:rsidP="00AA235D">
            <w:pPr>
              <w:spacing w:after="0" w:line="240" w:lineRule="auto"/>
              <w:jc w:val="center"/>
              <w:rPr>
                <w:rFonts w:eastAsia="Times New Roman" w:cs="Times New Roman"/>
                <w:szCs w:val="24"/>
              </w:rPr>
            </w:pPr>
            <w:r w:rsidRPr="00DA71E9">
              <w:rPr>
                <w:rFonts w:eastAsia="Times New Roman" w:cs="Times New Roman"/>
                <w:szCs w:val="24"/>
              </w:rPr>
              <w:t>286.153</w:t>
            </w:r>
          </w:p>
        </w:tc>
        <w:tc>
          <w:tcPr>
            <w:tcW w:w="1474" w:type="dxa"/>
            <w:vAlign w:val="center"/>
            <w:hideMark/>
          </w:tcPr>
          <w:p w14:paraId="418D721A" w14:textId="77777777" w:rsidR="007217D0" w:rsidRPr="00DA71E9" w:rsidRDefault="007217D0" w:rsidP="00AA235D">
            <w:pPr>
              <w:spacing w:after="0" w:line="240" w:lineRule="auto"/>
              <w:jc w:val="center"/>
              <w:rPr>
                <w:rFonts w:eastAsia="Times New Roman" w:cs="Times New Roman"/>
                <w:szCs w:val="24"/>
              </w:rPr>
            </w:pPr>
            <w:r w:rsidRPr="00DA71E9">
              <w:rPr>
                <w:rFonts w:eastAsia="Times New Roman" w:cs="Times New Roman"/>
                <w:szCs w:val="24"/>
              </w:rPr>
              <w:t>1.332</w:t>
            </w:r>
          </w:p>
        </w:tc>
        <w:tc>
          <w:tcPr>
            <w:tcW w:w="1474" w:type="dxa"/>
            <w:vAlign w:val="center"/>
          </w:tcPr>
          <w:p w14:paraId="6A5F1427" w14:textId="77777777" w:rsidR="007217D0" w:rsidRPr="00DA71E9" w:rsidRDefault="007217D0" w:rsidP="00AA235D">
            <w:pPr>
              <w:spacing w:after="0" w:line="240" w:lineRule="auto"/>
              <w:jc w:val="center"/>
              <w:rPr>
                <w:rFonts w:eastAsia="Times New Roman" w:cs="Times New Roman"/>
                <w:szCs w:val="24"/>
              </w:rPr>
            </w:pPr>
            <w:r w:rsidRPr="00DA71E9">
              <w:rPr>
                <w:rFonts w:eastAsia="Times New Roman" w:cs="Times New Roman"/>
                <w:szCs w:val="24"/>
              </w:rPr>
              <w:t>2.251</w:t>
            </w:r>
          </w:p>
        </w:tc>
        <w:tc>
          <w:tcPr>
            <w:tcW w:w="1474" w:type="dxa"/>
            <w:vAlign w:val="center"/>
          </w:tcPr>
          <w:p w14:paraId="5C950BA9" w14:textId="77777777" w:rsidR="007217D0" w:rsidRPr="00DA71E9" w:rsidRDefault="007217D0" w:rsidP="00AA235D">
            <w:pPr>
              <w:spacing w:after="0" w:line="240" w:lineRule="auto"/>
              <w:jc w:val="center"/>
              <w:rPr>
                <w:rFonts w:eastAsia="Times New Roman" w:cs="Times New Roman"/>
                <w:szCs w:val="24"/>
              </w:rPr>
            </w:pPr>
            <w:r w:rsidRPr="00DA71E9">
              <w:rPr>
                <w:rFonts w:eastAsia="Times New Roman" w:cs="Times New Roman"/>
                <w:szCs w:val="24"/>
              </w:rPr>
              <w:t>904</w:t>
            </w:r>
          </w:p>
        </w:tc>
      </w:tr>
    </w:tbl>
    <w:p w14:paraId="0143FCCF" w14:textId="753429CB" w:rsidR="007C5C66" w:rsidRPr="00767411" w:rsidRDefault="00982F37" w:rsidP="003229B7">
      <w:pPr>
        <w:tabs>
          <w:tab w:val="left" w:pos="993"/>
        </w:tabs>
        <w:spacing w:before="120" w:after="120" w:line="240" w:lineRule="auto"/>
        <w:ind w:firstLine="567"/>
        <w:jc w:val="both"/>
        <w:rPr>
          <w:rFonts w:eastAsia="Aptos" w:cs="Times New Roman"/>
          <w:sz w:val="28"/>
          <w:lang w:val="vi-VN"/>
        </w:rPr>
      </w:pPr>
      <w:r>
        <w:rPr>
          <w:rFonts w:eastAsia="Aptos" w:cs="Times New Roman"/>
          <w:sz w:val="28"/>
        </w:rPr>
        <w:t>Kể từ tháng 10/2025</w:t>
      </w:r>
      <w:r w:rsidR="005759A4">
        <w:rPr>
          <w:rFonts w:eastAsia="Aptos" w:cs="Times New Roman"/>
          <w:sz w:val="28"/>
        </w:rPr>
        <w:t xml:space="preserve">, </w:t>
      </w:r>
      <w:r w:rsidR="003F7E2F">
        <w:rPr>
          <w:rFonts w:eastAsia="Aptos" w:cs="Times New Roman"/>
          <w:sz w:val="28"/>
        </w:rPr>
        <w:t xml:space="preserve">các </w:t>
      </w:r>
      <w:r w:rsidR="005759A4">
        <w:rPr>
          <w:rFonts w:eastAsia="Aptos" w:cs="Times New Roman"/>
          <w:sz w:val="28"/>
        </w:rPr>
        <w:t>Tổng Công ty Điện lực/Công ty Điện lực</w:t>
      </w:r>
      <w:r>
        <w:rPr>
          <w:rFonts w:eastAsia="Aptos" w:cs="Times New Roman"/>
          <w:sz w:val="28"/>
        </w:rPr>
        <w:t xml:space="preserve"> </w:t>
      </w:r>
      <w:r w:rsidR="008E383A">
        <w:rPr>
          <w:rFonts w:eastAsia="Aptos" w:cs="Times New Roman"/>
          <w:sz w:val="28"/>
        </w:rPr>
        <w:t xml:space="preserve">sẽ </w:t>
      </w:r>
      <w:r>
        <w:rPr>
          <w:rFonts w:eastAsia="Aptos" w:cs="Times New Roman"/>
          <w:sz w:val="28"/>
        </w:rPr>
        <w:t xml:space="preserve">thực hiện </w:t>
      </w:r>
      <w:r w:rsidR="000B1320">
        <w:rPr>
          <w:rFonts w:eastAsia="Aptos" w:cs="Times New Roman"/>
          <w:sz w:val="28"/>
        </w:rPr>
        <w:t xml:space="preserve">gửi </w:t>
      </w:r>
      <w:r w:rsidR="003F7E2F" w:rsidRPr="003F7E2F">
        <w:rPr>
          <w:rFonts w:eastAsia="Aptos" w:cs="Times New Roman"/>
          <w:i/>
          <w:iCs/>
          <w:sz w:val="28"/>
        </w:rPr>
        <w:t xml:space="preserve">Thông báo kết quả tính toán tiền điện thử nghiệm trên giấy theo giá bán điện 02 thành phần </w:t>
      </w:r>
      <w:r w:rsidR="000B1320" w:rsidRPr="003F7E2F">
        <w:rPr>
          <w:rFonts w:eastAsia="Aptos" w:cs="Times New Roman"/>
          <w:i/>
          <w:iCs/>
          <w:sz w:val="28"/>
        </w:rPr>
        <w:t>cho khách hàng thuộc đối tượng thử nghiệm</w:t>
      </w:r>
      <w:r w:rsidR="000B1320" w:rsidRPr="003F7E2F">
        <w:rPr>
          <w:rFonts w:eastAsia="Aptos" w:cs="Times New Roman"/>
          <w:sz w:val="28"/>
        </w:rPr>
        <w:t xml:space="preserve">, </w:t>
      </w:r>
      <w:r w:rsidR="000B1320">
        <w:rPr>
          <w:rFonts w:eastAsia="Aptos" w:cs="Times New Roman"/>
          <w:sz w:val="28"/>
        </w:rPr>
        <w:t xml:space="preserve">trong đó có so sánh về tiền điện </w:t>
      </w:r>
      <w:r>
        <w:rPr>
          <w:rFonts w:eastAsia="Aptos" w:cs="Times New Roman"/>
          <w:sz w:val="28"/>
        </w:rPr>
        <w:t xml:space="preserve">theo </w:t>
      </w:r>
      <w:r w:rsidR="008E383A" w:rsidRPr="00AB2BC8">
        <w:rPr>
          <w:rFonts w:cs="Times New Roman"/>
          <w:sz w:val="28"/>
          <w:szCs w:val="28"/>
        </w:rPr>
        <w:t xml:space="preserve">biểu giá điện một thành phần </w:t>
      </w:r>
      <w:r>
        <w:rPr>
          <w:rFonts w:eastAsia="Aptos" w:cs="Times New Roman"/>
          <w:sz w:val="28"/>
        </w:rPr>
        <w:t xml:space="preserve">hiện hành và tiền điện theo </w:t>
      </w:r>
      <w:r w:rsidR="008E383A" w:rsidRPr="00F33507">
        <w:rPr>
          <w:rFonts w:eastAsia="Aptos" w:cs="Times New Roman"/>
          <w:spacing w:val="-2"/>
          <w:sz w:val="28"/>
          <w:lang w:val="vi-VN"/>
        </w:rPr>
        <w:t>giá điện 2 thành phầ</w:t>
      </w:r>
      <w:r w:rsidR="008E383A">
        <w:rPr>
          <w:rFonts w:eastAsia="Aptos" w:cs="Times New Roman"/>
          <w:spacing w:val="-2"/>
          <w:sz w:val="28"/>
          <w:lang w:val="vi-VN"/>
        </w:rPr>
        <w:t>n</w:t>
      </w:r>
      <w:r w:rsidR="000B1320">
        <w:rPr>
          <w:rFonts w:eastAsia="Aptos" w:cs="Times New Roman"/>
          <w:sz w:val="28"/>
        </w:rPr>
        <w:t>.</w:t>
      </w:r>
      <w:r w:rsidR="003F7E2F">
        <w:rPr>
          <w:rFonts w:eastAsia="Aptos" w:cs="Times New Roman"/>
          <w:sz w:val="28"/>
        </w:rPr>
        <w:t xml:space="preserve"> </w:t>
      </w:r>
      <w:r w:rsidR="003F7E2F" w:rsidRPr="003F7E2F">
        <w:rPr>
          <w:rFonts w:eastAsia="Aptos" w:cs="Times New Roman"/>
          <w:b/>
          <w:bCs/>
          <w:sz w:val="28"/>
        </w:rPr>
        <w:t xml:space="preserve">EVN lưu ý rõ </w:t>
      </w:r>
      <w:r w:rsidR="003F7E2F">
        <w:rPr>
          <w:rFonts w:eastAsia="Aptos" w:cs="Times New Roman"/>
          <w:b/>
          <w:bCs/>
          <w:sz w:val="28"/>
        </w:rPr>
        <w:t>đ</w:t>
      </w:r>
      <w:r w:rsidR="00F33507" w:rsidRPr="00F33507">
        <w:rPr>
          <w:rFonts w:eastAsia="Aptos" w:cs="Times New Roman"/>
          <w:b/>
          <w:bCs/>
          <w:sz w:val="28"/>
          <w:lang w:val="vi-VN"/>
        </w:rPr>
        <w:t xml:space="preserve">ây </w:t>
      </w:r>
      <w:r w:rsidR="003F7E2F">
        <w:rPr>
          <w:rFonts w:eastAsia="Aptos" w:cs="Times New Roman"/>
          <w:b/>
          <w:bCs/>
          <w:sz w:val="28"/>
        </w:rPr>
        <w:t xml:space="preserve">mới chỉ </w:t>
      </w:r>
      <w:r w:rsidR="00F33507" w:rsidRPr="00F33507">
        <w:rPr>
          <w:rFonts w:eastAsia="Aptos" w:cs="Times New Roman"/>
          <w:b/>
          <w:bCs/>
          <w:sz w:val="28"/>
          <w:lang w:val="vi-VN"/>
        </w:rPr>
        <w:t>là hoạt động thử nghiệm</w:t>
      </w:r>
      <w:r w:rsidR="003F7E2F">
        <w:rPr>
          <w:rFonts w:eastAsia="Aptos" w:cs="Times New Roman"/>
          <w:b/>
          <w:bCs/>
          <w:sz w:val="28"/>
        </w:rPr>
        <w:t xml:space="preserve"> và tính toán</w:t>
      </w:r>
      <w:r w:rsidR="00F33507">
        <w:rPr>
          <w:rFonts w:eastAsia="Aptos" w:cs="Times New Roman"/>
          <w:b/>
          <w:bCs/>
          <w:sz w:val="28"/>
          <w:lang w:val="vi-VN"/>
        </w:rPr>
        <w:t xml:space="preserve"> </w:t>
      </w:r>
      <w:r w:rsidR="000B0C38">
        <w:rPr>
          <w:rFonts w:eastAsia="Aptos" w:cs="Times New Roman"/>
          <w:b/>
          <w:bCs/>
          <w:sz w:val="28"/>
        </w:rPr>
        <w:t>trên giấy</w:t>
      </w:r>
      <w:r w:rsidR="0020469B">
        <w:rPr>
          <w:rFonts w:eastAsia="Aptos" w:cs="Times New Roman"/>
          <w:b/>
          <w:bCs/>
          <w:sz w:val="28"/>
          <w:lang w:val="vi-VN"/>
        </w:rPr>
        <w:t xml:space="preserve">, </w:t>
      </w:r>
      <w:r w:rsidR="0020469B" w:rsidRPr="003F7E2F">
        <w:rPr>
          <w:rFonts w:eastAsia="Aptos" w:cs="Times New Roman"/>
          <w:b/>
          <w:bCs/>
          <w:sz w:val="28"/>
          <w:u w:val="single"/>
          <w:lang w:val="vi-VN"/>
        </w:rPr>
        <w:t xml:space="preserve">chưa áp dụng </w:t>
      </w:r>
      <w:r w:rsidR="003F7E2F" w:rsidRPr="003F7E2F">
        <w:rPr>
          <w:rFonts w:eastAsia="Aptos" w:cs="Times New Roman"/>
          <w:b/>
          <w:bCs/>
          <w:sz w:val="28"/>
          <w:u w:val="single"/>
        </w:rPr>
        <w:t>trên</w:t>
      </w:r>
      <w:r w:rsidR="0020469B" w:rsidRPr="003F7E2F">
        <w:rPr>
          <w:rFonts w:eastAsia="Aptos" w:cs="Times New Roman"/>
          <w:b/>
          <w:bCs/>
          <w:sz w:val="28"/>
          <w:u w:val="single"/>
          <w:lang w:val="vi-VN"/>
        </w:rPr>
        <w:t xml:space="preserve"> hoá đơn tiền điện thực tế trong thời gian </w:t>
      </w:r>
      <w:r w:rsidR="003F7E2F" w:rsidRPr="003F7E2F">
        <w:rPr>
          <w:rFonts w:eastAsia="Aptos" w:cs="Times New Roman"/>
          <w:b/>
          <w:bCs/>
          <w:sz w:val="28"/>
          <w:u w:val="single"/>
        </w:rPr>
        <w:t>thử nghiệm</w:t>
      </w:r>
      <w:r w:rsidR="00F33507">
        <w:rPr>
          <w:rFonts w:eastAsia="Aptos" w:cs="Times New Roman"/>
          <w:b/>
          <w:bCs/>
          <w:sz w:val="28"/>
          <w:lang w:val="vi-VN"/>
        </w:rPr>
        <w:t>.</w:t>
      </w:r>
    </w:p>
    <w:p w14:paraId="03088E4E" w14:textId="77777777" w:rsidR="00767411" w:rsidRPr="00CD5B61" w:rsidRDefault="00767411" w:rsidP="002B10D5">
      <w:pPr>
        <w:pStyle w:val="Header"/>
        <w:tabs>
          <w:tab w:val="num" w:pos="1440"/>
        </w:tabs>
        <w:spacing w:before="240"/>
        <w:ind w:left="567"/>
        <w:rPr>
          <w:b/>
          <w:szCs w:val="24"/>
          <w:u w:val="single"/>
          <w:lang w:val="pt-BR"/>
        </w:rPr>
      </w:pPr>
      <w:r w:rsidRPr="00CD5B61">
        <w:rPr>
          <w:b/>
          <w:szCs w:val="24"/>
          <w:u w:val="single"/>
          <w:lang w:val="pt-BR"/>
        </w:rPr>
        <w:t>THÔNG TIN LIÊN HỆ:</w:t>
      </w:r>
    </w:p>
    <w:p w14:paraId="7A47F59D" w14:textId="77777777" w:rsidR="00767411" w:rsidRPr="00CD5B61" w:rsidRDefault="00767411" w:rsidP="00767411">
      <w:pPr>
        <w:pStyle w:val="Header"/>
        <w:tabs>
          <w:tab w:val="num" w:pos="1440"/>
        </w:tabs>
        <w:ind w:left="567"/>
        <w:rPr>
          <w:szCs w:val="24"/>
          <w:lang w:val="pt-BR"/>
        </w:rPr>
      </w:pPr>
      <w:r w:rsidRPr="00CD5B61">
        <w:rPr>
          <w:szCs w:val="24"/>
          <w:lang w:val="pt-BR"/>
        </w:rPr>
        <w:t>Ban Truyền thông</w:t>
      </w:r>
      <w:r>
        <w:rPr>
          <w:szCs w:val="24"/>
          <w:lang w:val="pt-BR"/>
        </w:rPr>
        <w:t xml:space="preserve"> &amp; VHDN</w:t>
      </w:r>
      <w:r w:rsidRPr="00CD5B61">
        <w:rPr>
          <w:szCs w:val="24"/>
          <w:lang w:val="pt-BR"/>
        </w:rPr>
        <w:t xml:space="preserve"> - Tập đoàn Điện lực Việt Nam;</w:t>
      </w:r>
    </w:p>
    <w:p w14:paraId="35A6797B" w14:textId="2CA82302" w:rsidR="00767411" w:rsidRPr="00CD5B61" w:rsidRDefault="00767411" w:rsidP="00767411">
      <w:pPr>
        <w:pStyle w:val="Header"/>
        <w:tabs>
          <w:tab w:val="num" w:pos="1440"/>
        </w:tabs>
        <w:ind w:left="567"/>
        <w:rPr>
          <w:szCs w:val="24"/>
          <w:lang w:val="pt-BR"/>
        </w:rPr>
      </w:pPr>
      <w:r w:rsidRPr="00CD5B61">
        <w:rPr>
          <w:szCs w:val="24"/>
          <w:lang w:val="pt-BR"/>
        </w:rPr>
        <w:t xml:space="preserve">Địa chỉ: Số 11 phố Cửa Bắc, phường Trúc Bạch, </w:t>
      </w:r>
      <w:r>
        <w:rPr>
          <w:szCs w:val="24"/>
          <w:lang w:val="pt-BR"/>
        </w:rPr>
        <w:t>TP</w:t>
      </w:r>
      <w:r w:rsidRPr="00CD5B61">
        <w:rPr>
          <w:szCs w:val="24"/>
          <w:lang w:val="pt-BR"/>
        </w:rPr>
        <w:t xml:space="preserve"> Hà Nội;</w:t>
      </w:r>
    </w:p>
    <w:p w14:paraId="4E8F2E3D" w14:textId="77777777" w:rsidR="00767411" w:rsidRPr="00CD5B61" w:rsidRDefault="00767411" w:rsidP="00767411">
      <w:pPr>
        <w:pStyle w:val="Header"/>
        <w:tabs>
          <w:tab w:val="num" w:pos="1440"/>
        </w:tabs>
        <w:ind w:left="567"/>
        <w:rPr>
          <w:szCs w:val="24"/>
          <w:lang w:val="pt-BR"/>
        </w:rPr>
      </w:pPr>
      <w:r w:rsidRPr="00CD5B61">
        <w:rPr>
          <w:szCs w:val="24"/>
          <w:lang w:val="pt-BR"/>
        </w:rPr>
        <w:t xml:space="preserve">Email: </w:t>
      </w:r>
      <w:hyperlink r:id="rId9" w:history="1">
        <w:r w:rsidRPr="00CD5B61">
          <w:rPr>
            <w:rStyle w:val="Hyperlink"/>
            <w:szCs w:val="24"/>
            <w:lang w:val="pt-BR"/>
          </w:rPr>
          <w:t>bantt@evn.com.vn</w:t>
        </w:r>
      </w:hyperlink>
      <w:r w:rsidRPr="00CD5B61">
        <w:rPr>
          <w:szCs w:val="24"/>
          <w:lang w:val="pt-BR"/>
        </w:rPr>
        <w:t xml:space="preserve"> </w:t>
      </w:r>
      <w:r w:rsidRPr="00CD5B61">
        <w:rPr>
          <w:szCs w:val="24"/>
          <w:lang w:val="pt-BR"/>
        </w:rPr>
        <w:tab/>
        <w:t xml:space="preserve">Điện thoại: 024.66946405/66946413; </w:t>
      </w:r>
      <w:r w:rsidRPr="00CD5B61">
        <w:rPr>
          <w:szCs w:val="24"/>
          <w:lang w:val="pt-BR"/>
        </w:rPr>
        <w:tab/>
      </w:r>
    </w:p>
    <w:p w14:paraId="65EDA9BB" w14:textId="77777777" w:rsidR="00767411" w:rsidRPr="00CD5B61" w:rsidRDefault="00767411" w:rsidP="00767411">
      <w:pPr>
        <w:pStyle w:val="Header"/>
        <w:tabs>
          <w:tab w:val="num" w:pos="1440"/>
        </w:tabs>
        <w:ind w:left="567"/>
        <w:rPr>
          <w:szCs w:val="24"/>
          <w:lang w:val="pt-BR"/>
        </w:rPr>
      </w:pPr>
      <w:r w:rsidRPr="00CD5B61">
        <w:rPr>
          <w:szCs w:val="24"/>
          <w:lang w:val="pt-BR"/>
        </w:rPr>
        <w:t xml:space="preserve">Website: </w:t>
      </w:r>
      <w:hyperlink r:id="rId10" w:history="1">
        <w:r w:rsidRPr="00CD5B61">
          <w:rPr>
            <w:rStyle w:val="Hyperlink"/>
            <w:szCs w:val="24"/>
            <w:lang w:val="pt-BR"/>
          </w:rPr>
          <w:t>www.evn.com.vn</w:t>
        </w:r>
      </w:hyperlink>
    </w:p>
    <w:p w14:paraId="69956763" w14:textId="77777777" w:rsidR="00767411" w:rsidRDefault="00767411" w:rsidP="00767411">
      <w:pPr>
        <w:pStyle w:val="NormalWeb"/>
        <w:shd w:val="clear" w:color="auto" w:fill="FFFFFF"/>
        <w:spacing w:before="0" w:beforeAutospacing="0" w:after="0" w:afterAutospacing="0"/>
        <w:ind w:left="567"/>
        <w:jc w:val="both"/>
        <w:rPr>
          <w:u w:val="single"/>
        </w:rPr>
      </w:pPr>
      <w:r w:rsidRPr="00CD5B61">
        <w:rPr>
          <w:lang w:val="pt-BR"/>
        </w:rPr>
        <w:t>Fanpage:</w:t>
      </w:r>
      <w:r w:rsidRPr="00CD5B61">
        <w:t xml:space="preserve"> </w:t>
      </w:r>
      <w:hyperlink r:id="rId11" w:history="1">
        <w:r w:rsidRPr="00CD5B61">
          <w:rPr>
            <w:rStyle w:val="Hyperlink"/>
            <w:rFonts w:eastAsiaTheme="majorEastAsia"/>
            <w:lang w:val="pt-BR"/>
          </w:rPr>
          <w:t>www.facebook.com/evndienlucvietnam</w:t>
        </w:r>
      </w:hyperlink>
    </w:p>
    <w:p w14:paraId="11EA9037" w14:textId="77777777" w:rsidR="00767411" w:rsidRDefault="00767411" w:rsidP="00767411">
      <w:pPr>
        <w:pStyle w:val="Header"/>
        <w:tabs>
          <w:tab w:val="num" w:pos="1440"/>
        </w:tabs>
        <w:ind w:left="567"/>
        <w:rPr>
          <w:szCs w:val="24"/>
          <w:lang w:val="vi-VN"/>
        </w:rPr>
      </w:pPr>
      <w:r w:rsidRPr="00626111">
        <w:rPr>
          <w:szCs w:val="24"/>
          <w:lang w:val="pt-BR"/>
        </w:rPr>
        <w:t>Youtube: https://www.youtube.com/c/ĐIỆNLỰCVIỆTNAM_EVNnews</w:t>
      </w:r>
      <w:r>
        <w:rPr>
          <w:szCs w:val="24"/>
          <w:lang w:val="pt-BR"/>
        </w:rPr>
        <w:t xml:space="preserve"> </w:t>
      </w:r>
    </w:p>
    <w:p w14:paraId="5011FD5E" w14:textId="44B94075" w:rsidR="000B1320" w:rsidRPr="00767411" w:rsidRDefault="00767411" w:rsidP="00767411">
      <w:pPr>
        <w:pStyle w:val="Header"/>
        <w:tabs>
          <w:tab w:val="num" w:pos="1440"/>
        </w:tabs>
        <w:ind w:left="567"/>
        <w:rPr>
          <w:szCs w:val="24"/>
          <w:lang w:val="pt-BR"/>
        </w:rPr>
      </w:pPr>
      <w:r>
        <w:rPr>
          <w:szCs w:val="24"/>
          <w:lang w:val="pt-BR"/>
        </w:rPr>
        <w:t>K</w:t>
      </w:r>
      <w:r w:rsidRPr="00B375B3">
        <w:rPr>
          <w:szCs w:val="24"/>
          <w:lang w:val="pt-BR"/>
        </w:rPr>
        <w:t>ênh Tiktok</w:t>
      </w:r>
      <w:r>
        <w:rPr>
          <w:szCs w:val="24"/>
          <w:lang w:val="pt-BR"/>
        </w:rPr>
        <w:t>:</w:t>
      </w:r>
      <w:r w:rsidRPr="00B375B3">
        <w:rPr>
          <w:szCs w:val="24"/>
          <w:lang w:val="pt-BR"/>
        </w:rPr>
        <w:t xml:space="preserve"> </w:t>
      </w:r>
      <w:hyperlink r:id="rId12" w:history="1">
        <w:r w:rsidRPr="00B375B3">
          <w:rPr>
            <w:szCs w:val="24"/>
            <w:lang w:val="pt-BR"/>
          </w:rPr>
          <w:t>https://www.tiktok.com/@dienlucvn</w:t>
        </w:r>
      </w:hyperlink>
    </w:p>
    <w:sectPr w:rsidR="000B1320" w:rsidRPr="00767411" w:rsidSect="00767411">
      <w:headerReference w:type="default" r:id="rId13"/>
      <w:pgSz w:w="11907" w:h="16840" w:code="9"/>
      <w:pgMar w:top="938"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54699" w14:textId="77777777" w:rsidR="001D5159" w:rsidRDefault="001D5159" w:rsidP="0053500E">
      <w:pPr>
        <w:spacing w:after="0" w:line="240" w:lineRule="auto"/>
      </w:pPr>
      <w:r>
        <w:separator/>
      </w:r>
    </w:p>
  </w:endnote>
  <w:endnote w:type="continuationSeparator" w:id="0">
    <w:p w14:paraId="08DE8A55" w14:textId="77777777" w:rsidR="001D5159" w:rsidRDefault="001D5159" w:rsidP="00535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nClarendonH">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687A2" w14:textId="77777777" w:rsidR="001D5159" w:rsidRDefault="001D5159" w:rsidP="0053500E">
      <w:pPr>
        <w:spacing w:after="0" w:line="240" w:lineRule="auto"/>
      </w:pPr>
      <w:r>
        <w:separator/>
      </w:r>
    </w:p>
  </w:footnote>
  <w:footnote w:type="continuationSeparator" w:id="0">
    <w:p w14:paraId="7A82190E" w14:textId="77777777" w:rsidR="001D5159" w:rsidRDefault="001D5159" w:rsidP="00535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2134544346"/>
      <w:docPartObj>
        <w:docPartGallery w:val="Page Numbers (Top of Page)"/>
        <w:docPartUnique/>
      </w:docPartObj>
    </w:sdtPr>
    <w:sdtEndPr>
      <w:rPr>
        <w:noProof/>
      </w:rPr>
    </w:sdtEndPr>
    <w:sdtContent>
      <w:p w14:paraId="6C15DF89" w14:textId="7DC78E1C" w:rsidR="0053500E" w:rsidRPr="0053500E" w:rsidRDefault="0053500E">
        <w:pPr>
          <w:pStyle w:val="Header"/>
          <w:jc w:val="center"/>
          <w:rPr>
            <w:sz w:val="28"/>
            <w:szCs w:val="28"/>
          </w:rPr>
        </w:pPr>
        <w:r w:rsidRPr="0053500E">
          <w:rPr>
            <w:sz w:val="28"/>
            <w:szCs w:val="28"/>
          </w:rPr>
          <w:fldChar w:fldCharType="begin"/>
        </w:r>
        <w:r w:rsidRPr="0053500E">
          <w:rPr>
            <w:sz w:val="28"/>
            <w:szCs w:val="28"/>
          </w:rPr>
          <w:instrText xml:space="preserve"> PAGE   \* MERGEFORMAT </w:instrText>
        </w:r>
        <w:r w:rsidRPr="0053500E">
          <w:rPr>
            <w:sz w:val="28"/>
            <w:szCs w:val="28"/>
          </w:rPr>
          <w:fldChar w:fldCharType="separate"/>
        </w:r>
        <w:r w:rsidR="000B0C38">
          <w:rPr>
            <w:noProof/>
            <w:sz w:val="28"/>
            <w:szCs w:val="28"/>
          </w:rPr>
          <w:t>2</w:t>
        </w:r>
        <w:r w:rsidRPr="0053500E">
          <w:rPr>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34CB2"/>
    <w:multiLevelType w:val="hybridMultilevel"/>
    <w:tmpl w:val="0C50DCA6"/>
    <w:lvl w:ilvl="0" w:tplc="0409000F">
      <w:start w:val="1"/>
      <w:numFmt w:val="decimal"/>
      <w:lvlText w:val="%1."/>
      <w:lvlJc w:val="left"/>
      <w:pPr>
        <w:ind w:left="720" w:hanging="360"/>
      </w:pPr>
      <w:rPr>
        <w:rFonts w:hint="default"/>
      </w:rPr>
    </w:lvl>
    <w:lvl w:ilvl="1" w:tplc="46EC63A4">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1D5353"/>
    <w:multiLevelType w:val="hybridMultilevel"/>
    <w:tmpl w:val="B860D298"/>
    <w:lvl w:ilvl="0" w:tplc="FFFFFFFF">
      <w:start w:val="1"/>
      <w:numFmt w:val="bullet"/>
      <w:lvlText w:val=""/>
      <w:lvlJc w:val="left"/>
      <w:pPr>
        <w:ind w:left="1287" w:hanging="360"/>
      </w:pPr>
      <w:rPr>
        <w:rFonts w:ascii="Symbol" w:hAnsi="Symbol" w:hint="default"/>
      </w:rPr>
    </w:lvl>
    <w:lvl w:ilvl="1" w:tplc="3BC2E990">
      <w:start w:val="1"/>
      <w:numFmt w:val="bullet"/>
      <w:lvlText w:val=""/>
      <w:lvlJc w:val="left"/>
      <w:pPr>
        <w:ind w:left="720"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1097797630">
    <w:abstractNumId w:val="0"/>
  </w:num>
  <w:num w:numId="2" w16cid:durableId="424543212">
    <w:abstractNumId w:val="1"/>
  </w:num>
  <w:num w:numId="3" w16cid:durableId="209270161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7D0"/>
    <w:rsid w:val="00011E42"/>
    <w:rsid w:val="0009520B"/>
    <w:rsid w:val="000A01EE"/>
    <w:rsid w:val="000B0C38"/>
    <w:rsid w:val="000B1320"/>
    <w:rsid w:val="001114D2"/>
    <w:rsid w:val="001142F5"/>
    <w:rsid w:val="00142866"/>
    <w:rsid w:val="00163605"/>
    <w:rsid w:val="00170EB3"/>
    <w:rsid w:val="00177F15"/>
    <w:rsid w:val="00182BAF"/>
    <w:rsid w:val="00193083"/>
    <w:rsid w:val="001A3DAF"/>
    <w:rsid w:val="001D5159"/>
    <w:rsid w:val="0020469B"/>
    <w:rsid w:val="002168CB"/>
    <w:rsid w:val="002453EA"/>
    <w:rsid w:val="002828A6"/>
    <w:rsid w:val="002B10D5"/>
    <w:rsid w:val="002B16B3"/>
    <w:rsid w:val="002B5013"/>
    <w:rsid w:val="002C7D48"/>
    <w:rsid w:val="003022C8"/>
    <w:rsid w:val="00302CF6"/>
    <w:rsid w:val="003229B7"/>
    <w:rsid w:val="00331138"/>
    <w:rsid w:val="00346128"/>
    <w:rsid w:val="00371140"/>
    <w:rsid w:val="0038041A"/>
    <w:rsid w:val="003A1712"/>
    <w:rsid w:val="003B7001"/>
    <w:rsid w:val="003C2A67"/>
    <w:rsid w:val="003F1741"/>
    <w:rsid w:val="003F7E2F"/>
    <w:rsid w:val="00426249"/>
    <w:rsid w:val="00447DC5"/>
    <w:rsid w:val="004533A9"/>
    <w:rsid w:val="00486D96"/>
    <w:rsid w:val="004F22A3"/>
    <w:rsid w:val="0053500E"/>
    <w:rsid w:val="00547223"/>
    <w:rsid w:val="005759A4"/>
    <w:rsid w:val="00587EDD"/>
    <w:rsid w:val="005B1535"/>
    <w:rsid w:val="005D2404"/>
    <w:rsid w:val="006050B6"/>
    <w:rsid w:val="00630E56"/>
    <w:rsid w:val="006B7717"/>
    <w:rsid w:val="007217D0"/>
    <w:rsid w:val="007427A6"/>
    <w:rsid w:val="007432F6"/>
    <w:rsid w:val="00762ED0"/>
    <w:rsid w:val="00767411"/>
    <w:rsid w:val="00785C5E"/>
    <w:rsid w:val="00797B89"/>
    <w:rsid w:val="007C5C66"/>
    <w:rsid w:val="00803611"/>
    <w:rsid w:val="00857925"/>
    <w:rsid w:val="00873B91"/>
    <w:rsid w:val="008C0E70"/>
    <w:rsid w:val="008D6DB8"/>
    <w:rsid w:val="008E383A"/>
    <w:rsid w:val="008F141B"/>
    <w:rsid w:val="00902093"/>
    <w:rsid w:val="00903AB4"/>
    <w:rsid w:val="00940781"/>
    <w:rsid w:val="009460A0"/>
    <w:rsid w:val="00982F37"/>
    <w:rsid w:val="009F66CA"/>
    <w:rsid w:val="00A16B2C"/>
    <w:rsid w:val="00A21268"/>
    <w:rsid w:val="00A30BA6"/>
    <w:rsid w:val="00A643F0"/>
    <w:rsid w:val="00A71F48"/>
    <w:rsid w:val="00A73E06"/>
    <w:rsid w:val="00AA235D"/>
    <w:rsid w:val="00AD3F7A"/>
    <w:rsid w:val="00AD5A7A"/>
    <w:rsid w:val="00AF04C6"/>
    <w:rsid w:val="00AF7FFE"/>
    <w:rsid w:val="00B36489"/>
    <w:rsid w:val="00B4560E"/>
    <w:rsid w:val="00B5613A"/>
    <w:rsid w:val="00B624F7"/>
    <w:rsid w:val="00B65214"/>
    <w:rsid w:val="00B769E5"/>
    <w:rsid w:val="00C45B88"/>
    <w:rsid w:val="00C52F51"/>
    <w:rsid w:val="00CC512F"/>
    <w:rsid w:val="00CE270A"/>
    <w:rsid w:val="00D33FB0"/>
    <w:rsid w:val="00D42D57"/>
    <w:rsid w:val="00E31085"/>
    <w:rsid w:val="00EE7754"/>
    <w:rsid w:val="00F236A8"/>
    <w:rsid w:val="00F33507"/>
    <w:rsid w:val="00F71C0F"/>
    <w:rsid w:val="00F805CA"/>
    <w:rsid w:val="00F84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6340C"/>
  <w15:chartTrackingRefBased/>
  <w15:docId w15:val="{BC67063D-DD97-46B4-A535-2C185537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17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17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17D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17D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217D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17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17D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17D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17D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7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7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7D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7D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217D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217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17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17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17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17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7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7D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7D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17D0"/>
    <w:pPr>
      <w:spacing w:before="160"/>
      <w:jc w:val="center"/>
    </w:pPr>
    <w:rPr>
      <w:i/>
      <w:iCs/>
      <w:color w:val="404040" w:themeColor="text1" w:themeTint="BF"/>
    </w:rPr>
  </w:style>
  <w:style w:type="character" w:customStyle="1" w:styleId="QuoteChar">
    <w:name w:val="Quote Char"/>
    <w:basedOn w:val="DefaultParagraphFont"/>
    <w:link w:val="Quote"/>
    <w:uiPriority w:val="29"/>
    <w:rsid w:val="007217D0"/>
    <w:rPr>
      <w:i/>
      <w:iCs/>
      <w:color w:val="404040" w:themeColor="text1" w:themeTint="BF"/>
    </w:rPr>
  </w:style>
  <w:style w:type="paragraph" w:styleId="ListParagraph">
    <w:name w:val="List Paragraph"/>
    <w:basedOn w:val="Normal"/>
    <w:uiPriority w:val="34"/>
    <w:qFormat/>
    <w:rsid w:val="007217D0"/>
    <w:pPr>
      <w:ind w:left="720"/>
      <w:contextualSpacing/>
    </w:pPr>
  </w:style>
  <w:style w:type="character" w:styleId="IntenseEmphasis">
    <w:name w:val="Intense Emphasis"/>
    <w:basedOn w:val="DefaultParagraphFont"/>
    <w:uiPriority w:val="21"/>
    <w:qFormat/>
    <w:rsid w:val="007217D0"/>
    <w:rPr>
      <w:i/>
      <w:iCs/>
      <w:color w:val="0F4761" w:themeColor="accent1" w:themeShade="BF"/>
    </w:rPr>
  </w:style>
  <w:style w:type="paragraph" w:styleId="IntenseQuote">
    <w:name w:val="Intense Quote"/>
    <w:basedOn w:val="Normal"/>
    <w:next w:val="Normal"/>
    <w:link w:val="IntenseQuoteChar"/>
    <w:uiPriority w:val="30"/>
    <w:qFormat/>
    <w:rsid w:val="00721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17D0"/>
    <w:rPr>
      <w:i/>
      <w:iCs/>
      <w:color w:val="0F4761" w:themeColor="accent1" w:themeShade="BF"/>
    </w:rPr>
  </w:style>
  <w:style w:type="character" w:styleId="IntenseReference">
    <w:name w:val="Intense Reference"/>
    <w:basedOn w:val="DefaultParagraphFont"/>
    <w:uiPriority w:val="32"/>
    <w:qFormat/>
    <w:rsid w:val="007217D0"/>
    <w:rPr>
      <w:b/>
      <w:bCs/>
      <w:smallCaps/>
      <w:color w:val="0F4761" w:themeColor="accent1" w:themeShade="BF"/>
      <w:spacing w:val="5"/>
    </w:rPr>
  </w:style>
  <w:style w:type="paragraph" w:customStyle="1" w:styleId="CharCharChar1CharCharChar4CharCharCharCharCharCharCharCharCharCharCharCharCharCharCharCharCharCharCharCharChar1CharCharCharCharCharCharCharCharChar">
    <w:name w:val="Char Char Char1 Char Char Char4 Char Char Char Char Char Char Char Char Char Char Char Char Char Char Char Char Char Char Char Char Char1 Char Char Char Char Char Char Char Char Char"/>
    <w:basedOn w:val="Normal"/>
    <w:semiHidden/>
    <w:rsid w:val="001114D2"/>
    <w:pPr>
      <w:autoSpaceDE w:val="0"/>
      <w:autoSpaceDN w:val="0"/>
      <w:adjustRightInd w:val="0"/>
      <w:spacing w:before="120" w:line="240" w:lineRule="exact"/>
    </w:pPr>
    <w:rPr>
      <w:rFonts w:ascii="Verdana" w:eastAsia="Times New Roman" w:hAnsi="Verdana" w:cs="Times New Roman"/>
      <w:kern w:val="0"/>
      <w:sz w:val="20"/>
      <w:szCs w:val="20"/>
      <w14:ligatures w14:val="none"/>
    </w:rPr>
  </w:style>
  <w:style w:type="paragraph" w:styleId="BodyText3">
    <w:name w:val="Body Text 3"/>
    <w:aliases w:val="Body Text 31 Char,Body Text 31"/>
    <w:basedOn w:val="Normal"/>
    <w:link w:val="BodyText3Char"/>
    <w:rsid w:val="001114D2"/>
    <w:pPr>
      <w:tabs>
        <w:tab w:val="left" w:pos="907"/>
      </w:tabs>
      <w:spacing w:before="120" w:after="0" w:line="240" w:lineRule="auto"/>
      <w:jc w:val="center"/>
      <w:outlineLvl w:val="0"/>
    </w:pPr>
    <w:rPr>
      <w:rFonts w:ascii=".VnClarendonH" w:eastAsia="Times New Roman" w:hAnsi=".VnClarendonH" w:cs="Times New Roman"/>
      <w:b/>
      <w:kern w:val="0"/>
      <w:sz w:val="32"/>
      <w:szCs w:val="26"/>
      <w14:ligatures w14:val="none"/>
    </w:rPr>
  </w:style>
  <w:style w:type="character" w:customStyle="1" w:styleId="BodyText3Char">
    <w:name w:val="Body Text 3 Char"/>
    <w:aliases w:val="Body Text 31 Char Char,Body Text 31 Char1"/>
    <w:basedOn w:val="DefaultParagraphFont"/>
    <w:link w:val="BodyText3"/>
    <w:rsid w:val="001114D2"/>
    <w:rPr>
      <w:rFonts w:ascii=".VnClarendonH" w:eastAsia="Times New Roman" w:hAnsi=".VnClarendonH" w:cs="Times New Roman"/>
      <w:b/>
      <w:kern w:val="0"/>
      <w:sz w:val="32"/>
      <w:szCs w:val="26"/>
      <w14:ligatures w14:val="none"/>
    </w:rPr>
  </w:style>
  <w:style w:type="paragraph" w:styleId="Header">
    <w:name w:val="header"/>
    <w:aliases w:val="Header Char1,Header Char Char,Header Char1 Char Char,h Char Char Char,Header Char Char Char Char,Header Char1 Char Char Char Char,Header Char Char Char Char Char Char,Header Char1 Char Char Char Char Char Char,h Char Char2,Header1 Char,Header1,h"/>
    <w:basedOn w:val="Normal"/>
    <w:link w:val="HeaderChar"/>
    <w:unhideWhenUsed/>
    <w:rsid w:val="0053500E"/>
    <w:pPr>
      <w:tabs>
        <w:tab w:val="center" w:pos="4680"/>
        <w:tab w:val="right" w:pos="9360"/>
      </w:tabs>
      <w:spacing w:after="0" w:line="240" w:lineRule="auto"/>
    </w:pPr>
  </w:style>
  <w:style w:type="character" w:customStyle="1" w:styleId="HeaderChar">
    <w:name w:val="Header Char"/>
    <w:aliases w:val="Header Char1 Char,Header Char Char Char,Header Char1 Char Char Char,h Char Char Char Char,Header Char Char Char Char Char,Header Char1 Char Char Char Char Char,Header Char Char Char Char Char Char Char,h Char Char2 Char,Header1 Char Char"/>
    <w:basedOn w:val="DefaultParagraphFont"/>
    <w:link w:val="Header"/>
    <w:rsid w:val="0053500E"/>
  </w:style>
  <w:style w:type="paragraph" w:styleId="Footer">
    <w:name w:val="footer"/>
    <w:basedOn w:val="Normal"/>
    <w:link w:val="FooterChar"/>
    <w:uiPriority w:val="99"/>
    <w:unhideWhenUsed/>
    <w:rsid w:val="00535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00E"/>
  </w:style>
  <w:style w:type="character" w:customStyle="1" w:styleId="fontstyle01">
    <w:name w:val="fontstyle01"/>
    <w:basedOn w:val="DefaultParagraphFont"/>
    <w:rsid w:val="00B5613A"/>
    <w:rPr>
      <w:rFonts w:ascii="Helvetica" w:hAnsi="Helvetica" w:hint="default"/>
      <w:b w:val="0"/>
      <w:bCs w:val="0"/>
      <w:i w:val="0"/>
      <w:iCs w:val="0"/>
      <w:color w:val="000000"/>
      <w:sz w:val="26"/>
      <w:szCs w:val="26"/>
    </w:rPr>
  </w:style>
  <w:style w:type="paragraph" w:styleId="NormalWeb">
    <w:name w:val="Normal (Web)"/>
    <w:basedOn w:val="Normal"/>
    <w:uiPriority w:val="99"/>
    <w:rsid w:val="00767411"/>
    <w:pPr>
      <w:spacing w:before="100" w:beforeAutospacing="1" w:after="100" w:afterAutospacing="1" w:line="240" w:lineRule="auto"/>
    </w:pPr>
    <w:rPr>
      <w:rFonts w:eastAsia="Times New Roman" w:cs="Times New Roman"/>
      <w:kern w:val="0"/>
      <w:szCs w:val="24"/>
      <w14:ligatures w14:val="none"/>
    </w:rPr>
  </w:style>
  <w:style w:type="character" w:styleId="Hyperlink">
    <w:name w:val="Hyperlink"/>
    <w:uiPriority w:val="99"/>
    <w:rsid w:val="00767411"/>
    <w:rPr>
      <w:color w:val="0000FF"/>
      <w:u w:val="single"/>
    </w:rPr>
  </w:style>
  <w:style w:type="paragraph" w:styleId="Revision">
    <w:name w:val="Revision"/>
    <w:hidden/>
    <w:uiPriority w:val="99"/>
    <w:semiHidden/>
    <w:rsid w:val="00F236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81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iktok.com/@dienluc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evndienlucviet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vn.com.vn" TargetMode="External"/><Relationship Id="rId4" Type="http://schemas.openxmlformats.org/officeDocument/2006/relationships/settings" Target="settings.xml"/><Relationship Id="rId9" Type="http://schemas.openxmlformats.org/officeDocument/2006/relationships/hyperlink" Target="mailto:bantt@evn.com.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F38C2-AEF1-4D0C-8556-E6601121F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 Thuy Anh�</dc:creator>
  <cp:keywords/>
  <dc:description/>
  <cp:lastModifiedBy>Trinh Mai Phuong</cp:lastModifiedBy>
  <cp:revision>6</cp:revision>
  <dcterms:created xsi:type="dcterms:W3CDTF">2025-10-10T02:03:00Z</dcterms:created>
  <dcterms:modified xsi:type="dcterms:W3CDTF">2025-10-10T03:19:00Z</dcterms:modified>
</cp:coreProperties>
</file>